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151AA" w14:textId="77777777" w:rsidR="006F042B" w:rsidRPr="005F597F" w:rsidRDefault="006F042B" w:rsidP="006F042B">
      <w:pPr>
        <w:pStyle w:val="Naslov"/>
        <w:ind w:right="-108"/>
        <w:jc w:val="left"/>
        <w:rPr>
          <w:rFonts w:ascii="Times New Roman" w:hAnsi="Times New Roman" w:cs="Times New Roman"/>
        </w:rPr>
      </w:pPr>
      <w:r w:rsidRPr="005F597F">
        <w:rPr>
          <w:rFonts w:ascii="Times New Roman" w:hAnsi="Times New Roman" w:cs="Times New Roman"/>
        </w:rPr>
        <w:t xml:space="preserve">Naziv obveznika: </w:t>
      </w:r>
      <w:r w:rsidR="007731F4" w:rsidRPr="005F597F">
        <w:rPr>
          <w:rFonts w:ascii="Times New Roman" w:hAnsi="Times New Roman" w:cs="Times New Roman"/>
        </w:rPr>
        <w:t>Gradski muzej Županja</w:t>
      </w:r>
    </w:p>
    <w:p w14:paraId="25E6C16C" w14:textId="77777777" w:rsidR="006F042B" w:rsidRPr="005F597F" w:rsidRDefault="006F042B" w:rsidP="006F042B">
      <w:pPr>
        <w:pStyle w:val="Naslov1"/>
        <w:ind w:right="-108"/>
        <w:jc w:val="left"/>
        <w:rPr>
          <w:rFonts w:ascii="Times New Roman" w:hAnsi="Times New Roman" w:cs="Times New Roman"/>
        </w:rPr>
      </w:pPr>
      <w:r w:rsidRPr="005F597F">
        <w:rPr>
          <w:rFonts w:ascii="Times New Roman" w:hAnsi="Times New Roman" w:cs="Times New Roman"/>
        </w:rPr>
        <w:t xml:space="preserve">Broj RKP-a: </w:t>
      </w:r>
      <w:r w:rsidR="00A02637" w:rsidRPr="005F597F">
        <w:rPr>
          <w:rFonts w:ascii="Times New Roman" w:hAnsi="Times New Roman" w:cs="Times New Roman"/>
        </w:rPr>
        <w:t>37496</w:t>
      </w:r>
    </w:p>
    <w:p w14:paraId="20971DD5" w14:textId="77777777" w:rsidR="006F042B" w:rsidRPr="005F597F" w:rsidRDefault="006F042B" w:rsidP="006F042B">
      <w:pPr>
        <w:pStyle w:val="Naslov1"/>
        <w:ind w:right="-108"/>
        <w:jc w:val="left"/>
        <w:rPr>
          <w:rFonts w:ascii="Times New Roman" w:hAnsi="Times New Roman" w:cs="Times New Roman"/>
        </w:rPr>
      </w:pPr>
      <w:r w:rsidRPr="005F597F">
        <w:rPr>
          <w:rFonts w:ascii="Times New Roman" w:hAnsi="Times New Roman" w:cs="Times New Roman"/>
        </w:rPr>
        <w:t>Sjedište: ŽUPANJA</w:t>
      </w:r>
    </w:p>
    <w:p w14:paraId="606046CC" w14:textId="77777777" w:rsidR="006F042B" w:rsidRPr="005F597F" w:rsidRDefault="006F042B" w:rsidP="006F042B">
      <w:pPr>
        <w:pStyle w:val="Naslov1"/>
        <w:ind w:right="-108"/>
        <w:jc w:val="left"/>
        <w:rPr>
          <w:rFonts w:ascii="Times New Roman" w:eastAsia="Arial Unicode MS" w:hAnsi="Times New Roman" w:cs="Times New Roman"/>
        </w:rPr>
      </w:pPr>
      <w:r w:rsidRPr="005F597F">
        <w:rPr>
          <w:rFonts w:ascii="Times New Roman" w:hAnsi="Times New Roman" w:cs="Times New Roman"/>
        </w:rPr>
        <w:t>Poštanski broj: 32270</w:t>
      </w:r>
    </w:p>
    <w:p w14:paraId="6888F8D1" w14:textId="77777777" w:rsidR="006F042B" w:rsidRPr="005F597F" w:rsidRDefault="006F042B" w:rsidP="006F042B">
      <w:pPr>
        <w:pStyle w:val="Naslov1"/>
        <w:ind w:right="-108"/>
        <w:jc w:val="left"/>
        <w:rPr>
          <w:rFonts w:ascii="Times New Roman" w:eastAsia="Arial Unicode MS" w:hAnsi="Times New Roman" w:cs="Times New Roman"/>
        </w:rPr>
      </w:pPr>
      <w:r w:rsidRPr="005F597F">
        <w:rPr>
          <w:rFonts w:ascii="Times New Roman" w:hAnsi="Times New Roman" w:cs="Times New Roman"/>
        </w:rPr>
        <w:t xml:space="preserve">Adresa sjedišta: </w:t>
      </w:r>
      <w:r w:rsidR="00A02637" w:rsidRPr="005F597F">
        <w:rPr>
          <w:rFonts w:ascii="Times New Roman" w:hAnsi="Times New Roman" w:cs="Times New Roman"/>
        </w:rPr>
        <w:t>SAVSKA BR. 3</w:t>
      </w:r>
    </w:p>
    <w:p w14:paraId="69BE5BAA" w14:textId="77777777" w:rsidR="006F042B" w:rsidRPr="005F597F" w:rsidRDefault="006F042B" w:rsidP="006F042B">
      <w:pPr>
        <w:pStyle w:val="Naslov1"/>
        <w:ind w:right="-108"/>
        <w:jc w:val="left"/>
        <w:rPr>
          <w:rFonts w:ascii="Times New Roman" w:hAnsi="Times New Roman" w:cs="Times New Roman"/>
        </w:rPr>
      </w:pPr>
      <w:r w:rsidRPr="005F597F">
        <w:rPr>
          <w:rFonts w:ascii="Times New Roman" w:hAnsi="Times New Roman" w:cs="Times New Roman"/>
        </w:rPr>
        <w:t xml:space="preserve">Matični broj: </w:t>
      </w:r>
      <w:r w:rsidR="00A02637" w:rsidRPr="005F597F">
        <w:rPr>
          <w:rFonts w:ascii="Times New Roman" w:hAnsi="Times New Roman" w:cs="Times New Roman"/>
        </w:rPr>
        <w:t>00277002</w:t>
      </w:r>
    </w:p>
    <w:p w14:paraId="46CF7E9F" w14:textId="77777777" w:rsidR="006F042B" w:rsidRPr="005F597F" w:rsidRDefault="006F042B" w:rsidP="006F042B">
      <w:pPr>
        <w:rPr>
          <w:rFonts w:eastAsia="Arial Unicode MS"/>
          <w:b/>
        </w:rPr>
      </w:pPr>
      <w:r w:rsidRPr="005F597F">
        <w:rPr>
          <w:rFonts w:eastAsia="Arial Unicode MS"/>
          <w:b/>
        </w:rPr>
        <w:t xml:space="preserve">OIB: </w:t>
      </w:r>
      <w:r w:rsidR="00A02637" w:rsidRPr="005F597F">
        <w:rPr>
          <w:rFonts w:eastAsia="Arial Unicode MS"/>
          <w:b/>
        </w:rPr>
        <w:t>34984002088</w:t>
      </w:r>
    </w:p>
    <w:p w14:paraId="213968E3" w14:textId="77777777" w:rsidR="006F042B" w:rsidRPr="005F597F" w:rsidRDefault="006F042B" w:rsidP="006F042B">
      <w:pPr>
        <w:rPr>
          <w:rFonts w:eastAsia="Arial Unicode MS"/>
          <w:b/>
        </w:rPr>
      </w:pPr>
      <w:r w:rsidRPr="005F597F">
        <w:rPr>
          <w:rFonts w:eastAsia="Arial Unicode MS"/>
          <w:b/>
        </w:rPr>
        <w:t>Razina: 21</w:t>
      </w:r>
    </w:p>
    <w:p w14:paraId="32799F1D" w14:textId="77777777" w:rsidR="006F042B" w:rsidRPr="005F597F" w:rsidRDefault="006F042B" w:rsidP="006F042B">
      <w:pPr>
        <w:pStyle w:val="Naslov1"/>
        <w:ind w:right="-108"/>
        <w:jc w:val="left"/>
        <w:rPr>
          <w:rFonts w:ascii="Times New Roman" w:hAnsi="Times New Roman" w:cs="Times New Roman"/>
        </w:rPr>
      </w:pPr>
      <w:r w:rsidRPr="005F597F">
        <w:rPr>
          <w:rFonts w:ascii="Times New Roman" w:hAnsi="Times New Roman" w:cs="Times New Roman"/>
        </w:rPr>
        <w:t xml:space="preserve">Šifra djelatnosti: </w:t>
      </w:r>
      <w:r w:rsidR="00A02637" w:rsidRPr="005F597F">
        <w:rPr>
          <w:rFonts w:ascii="Times New Roman" w:hAnsi="Times New Roman" w:cs="Times New Roman"/>
        </w:rPr>
        <w:t>92511</w:t>
      </w:r>
    </w:p>
    <w:p w14:paraId="7ED9DC6B" w14:textId="77777777" w:rsidR="006F042B" w:rsidRPr="005F597F" w:rsidRDefault="006F042B" w:rsidP="006F042B">
      <w:pPr>
        <w:rPr>
          <w:rFonts w:eastAsia="Arial Unicode MS"/>
          <w:b/>
        </w:rPr>
      </w:pPr>
      <w:r w:rsidRPr="005F597F">
        <w:rPr>
          <w:rFonts w:eastAsia="Arial Unicode MS"/>
          <w:b/>
        </w:rPr>
        <w:t>Šifra županije: 16</w:t>
      </w:r>
    </w:p>
    <w:p w14:paraId="06EA009E" w14:textId="77777777" w:rsidR="006F042B" w:rsidRPr="005F597F" w:rsidRDefault="006F042B" w:rsidP="006F042B">
      <w:pPr>
        <w:rPr>
          <w:rFonts w:eastAsia="Arial Unicode MS"/>
          <w:b/>
        </w:rPr>
      </w:pPr>
      <w:r w:rsidRPr="005F597F">
        <w:rPr>
          <w:rFonts w:eastAsia="Arial Unicode MS"/>
          <w:b/>
        </w:rPr>
        <w:t>Šifra općine: 534</w:t>
      </w:r>
    </w:p>
    <w:p w14:paraId="5A2657BB" w14:textId="77777777" w:rsidR="006F042B" w:rsidRPr="005F597F" w:rsidRDefault="007731F4" w:rsidP="006F042B">
      <w:pPr>
        <w:pStyle w:val="Naslov1"/>
        <w:ind w:right="-108"/>
        <w:jc w:val="left"/>
        <w:rPr>
          <w:rFonts w:ascii="Times New Roman" w:hAnsi="Times New Roman" w:cs="Times New Roman"/>
        </w:rPr>
      </w:pPr>
      <w:r w:rsidRPr="005F597F">
        <w:rPr>
          <w:rFonts w:ascii="Times New Roman" w:hAnsi="Times New Roman" w:cs="Times New Roman"/>
        </w:rPr>
        <w:t xml:space="preserve">AOP </w:t>
      </w:r>
      <w:proofErr w:type="spellStart"/>
      <w:r w:rsidRPr="005F597F">
        <w:rPr>
          <w:rFonts w:ascii="Times New Roman" w:hAnsi="Times New Roman" w:cs="Times New Roman"/>
        </w:rPr>
        <w:t>ozn</w:t>
      </w:r>
      <w:proofErr w:type="spellEnd"/>
      <w:r w:rsidRPr="005F597F">
        <w:rPr>
          <w:rFonts w:ascii="Times New Roman" w:hAnsi="Times New Roman" w:cs="Times New Roman"/>
        </w:rPr>
        <w:t>. razdoblja: 2023</w:t>
      </w:r>
      <w:r w:rsidR="006F042B" w:rsidRPr="005F597F">
        <w:rPr>
          <w:rFonts w:ascii="Times New Roman" w:hAnsi="Times New Roman" w:cs="Times New Roman"/>
        </w:rPr>
        <w:t>-12</w:t>
      </w:r>
    </w:p>
    <w:p w14:paraId="0C0092D4" w14:textId="77777777" w:rsidR="006F042B" w:rsidRPr="004D79D8" w:rsidRDefault="006F042B" w:rsidP="005F597F">
      <w:pPr>
        <w:pStyle w:val="Naslov2"/>
        <w:jc w:val="left"/>
        <w:rPr>
          <w:rFonts w:ascii="Times New Roman" w:hAnsi="Times New Roman" w:cs="Times New Roman"/>
        </w:rPr>
      </w:pPr>
    </w:p>
    <w:p w14:paraId="0D0D8617" w14:textId="77777777" w:rsidR="006F042B" w:rsidRPr="004D79D8" w:rsidRDefault="006F042B" w:rsidP="006F042B">
      <w:pPr>
        <w:pStyle w:val="Naslov2"/>
        <w:rPr>
          <w:rFonts w:ascii="Times New Roman" w:hAnsi="Times New Roman" w:cs="Times New Roman"/>
        </w:rPr>
      </w:pPr>
    </w:p>
    <w:p w14:paraId="398C41CB" w14:textId="7C005712" w:rsidR="006F042B" w:rsidRPr="00344BC7" w:rsidRDefault="006F042B" w:rsidP="00344BC7">
      <w:pPr>
        <w:pStyle w:val="Naslov2"/>
        <w:rPr>
          <w:rFonts w:ascii="Times New Roman" w:hAnsi="Times New Roman" w:cs="Times New Roman"/>
          <w:sz w:val="20"/>
          <w:szCs w:val="20"/>
        </w:rPr>
      </w:pPr>
      <w:r w:rsidRPr="00344BC7">
        <w:rPr>
          <w:rFonts w:ascii="Times New Roman" w:hAnsi="Times New Roman" w:cs="Times New Roman"/>
          <w:sz w:val="20"/>
          <w:szCs w:val="20"/>
        </w:rPr>
        <w:t>BILJEŠKE</w:t>
      </w:r>
      <w:r w:rsidR="00344BC7">
        <w:rPr>
          <w:rFonts w:ascii="Times New Roman" w:hAnsi="Times New Roman" w:cs="Times New Roman"/>
          <w:sz w:val="20"/>
          <w:szCs w:val="20"/>
        </w:rPr>
        <w:t xml:space="preserve"> </w:t>
      </w:r>
      <w:r w:rsidRPr="00344BC7">
        <w:rPr>
          <w:rFonts w:ascii="Times New Roman" w:hAnsi="Times New Roman" w:cs="Times New Roman"/>
          <w:sz w:val="20"/>
          <w:szCs w:val="20"/>
        </w:rPr>
        <w:t>UZ IZVJEŠTAJ O PRIHODIMA I RASHODIMA, PRIMICIMA I IZDACIMA</w:t>
      </w:r>
    </w:p>
    <w:p w14:paraId="54C4EB47" w14:textId="77777777" w:rsidR="006F042B" w:rsidRPr="00344BC7" w:rsidRDefault="006F042B" w:rsidP="006F042B">
      <w:pPr>
        <w:rPr>
          <w:sz w:val="20"/>
          <w:szCs w:val="20"/>
        </w:rPr>
      </w:pPr>
    </w:p>
    <w:p w14:paraId="2182D72A" w14:textId="77777777" w:rsidR="006F042B" w:rsidRPr="00344BC7" w:rsidRDefault="006F042B" w:rsidP="006F042B">
      <w:pPr>
        <w:numPr>
          <w:ilvl w:val="0"/>
          <w:numId w:val="1"/>
        </w:numPr>
        <w:rPr>
          <w:b/>
          <w:bCs/>
          <w:sz w:val="20"/>
          <w:szCs w:val="20"/>
        </w:rPr>
      </w:pPr>
      <w:r w:rsidRPr="00344BC7">
        <w:rPr>
          <w:b/>
          <w:bCs/>
          <w:sz w:val="20"/>
          <w:szCs w:val="20"/>
        </w:rPr>
        <w:t>PRIHODI</w:t>
      </w:r>
    </w:p>
    <w:p w14:paraId="33852DF7" w14:textId="77777777" w:rsidR="006F042B" w:rsidRPr="00344BC7" w:rsidRDefault="006F042B" w:rsidP="006F042B">
      <w:pPr>
        <w:rPr>
          <w:sz w:val="20"/>
          <w:szCs w:val="20"/>
        </w:rPr>
      </w:pPr>
    </w:p>
    <w:p w14:paraId="1741300E" w14:textId="77777777" w:rsidR="006F042B" w:rsidRPr="00344BC7" w:rsidRDefault="007731F4" w:rsidP="006F042B">
      <w:pPr>
        <w:ind w:left="720"/>
        <w:rPr>
          <w:sz w:val="20"/>
          <w:szCs w:val="20"/>
        </w:rPr>
      </w:pPr>
      <w:r w:rsidRPr="00344BC7">
        <w:rPr>
          <w:sz w:val="20"/>
          <w:szCs w:val="20"/>
        </w:rPr>
        <w:t>Gradski muzej Županja  u razdoblju od 01.01.2023</w:t>
      </w:r>
      <w:r w:rsidR="006F042B" w:rsidRPr="00344BC7">
        <w:rPr>
          <w:sz w:val="20"/>
          <w:szCs w:val="20"/>
        </w:rPr>
        <w:t>.</w:t>
      </w:r>
      <w:r w:rsidRPr="00344BC7">
        <w:rPr>
          <w:sz w:val="20"/>
          <w:szCs w:val="20"/>
        </w:rPr>
        <w:t xml:space="preserve"> do 31.12.2023</w:t>
      </w:r>
      <w:r w:rsidR="00E92676" w:rsidRPr="00344BC7">
        <w:rPr>
          <w:sz w:val="20"/>
          <w:szCs w:val="20"/>
        </w:rPr>
        <w:t>. godine ostvario</w:t>
      </w:r>
      <w:r w:rsidR="006F042B" w:rsidRPr="00344BC7">
        <w:rPr>
          <w:sz w:val="20"/>
          <w:szCs w:val="20"/>
        </w:rPr>
        <w:t xml:space="preserve"> je slijedeće vrste prihoda:</w:t>
      </w:r>
    </w:p>
    <w:p w14:paraId="3ADD3BF7" w14:textId="77777777" w:rsidR="006F042B" w:rsidRPr="00344BC7" w:rsidRDefault="006F042B" w:rsidP="006F042B">
      <w:pPr>
        <w:rPr>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2195"/>
        <w:gridCol w:w="2341"/>
        <w:gridCol w:w="1275"/>
      </w:tblGrid>
      <w:tr w:rsidR="006F042B" w:rsidRPr="00344BC7" w14:paraId="4B54AF11" w14:textId="77777777" w:rsidTr="00E05517">
        <w:trPr>
          <w:trHeight w:val="1462"/>
        </w:trPr>
        <w:tc>
          <w:tcPr>
            <w:tcW w:w="3936" w:type="dxa"/>
            <w:vAlign w:val="center"/>
          </w:tcPr>
          <w:p w14:paraId="54523305" w14:textId="77777777" w:rsidR="006F042B" w:rsidRPr="00344BC7" w:rsidRDefault="006F042B" w:rsidP="00192678">
            <w:pPr>
              <w:pStyle w:val="Naslov4"/>
              <w:rPr>
                <w:rFonts w:ascii="Times New Roman" w:hAnsi="Times New Roman" w:cs="Times New Roman"/>
                <w:szCs w:val="20"/>
              </w:rPr>
            </w:pPr>
            <w:r w:rsidRPr="00344BC7">
              <w:rPr>
                <w:rFonts w:ascii="Times New Roman" w:hAnsi="Times New Roman" w:cs="Times New Roman"/>
                <w:szCs w:val="20"/>
              </w:rPr>
              <w:t>VRSTA PRIHODA</w:t>
            </w:r>
          </w:p>
        </w:tc>
        <w:tc>
          <w:tcPr>
            <w:tcW w:w="2195" w:type="dxa"/>
            <w:vAlign w:val="center"/>
          </w:tcPr>
          <w:p w14:paraId="707C1ACF" w14:textId="77777777" w:rsidR="006F042B" w:rsidRPr="00344BC7" w:rsidRDefault="006F042B" w:rsidP="00192678">
            <w:pPr>
              <w:jc w:val="center"/>
              <w:rPr>
                <w:b/>
                <w:bCs/>
                <w:sz w:val="20"/>
                <w:szCs w:val="20"/>
              </w:rPr>
            </w:pPr>
            <w:r w:rsidRPr="00344BC7">
              <w:rPr>
                <w:b/>
                <w:bCs/>
                <w:sz w:val="20"/>
                <w:szCs w:val="20"/>
              </w:rPr>
              <w:t>OSTVARENO U  IZVJEŠTAJNOM RAZDOBLJU  PRETHODNE GODINE</w:t>
            </w:r>
          </w:p>
        </w:tc>
        <w:tc>
          <w:tcPr>
            <w:tcW w:w="2341" w:type="dxa"/>
            <w:vAlign w:val="center"/>
          </w:tcPr>
          <w:p w14:paraId="641D68CA" w14:textId="77777777" w:rsidR="006F042B" w:rsidRPr="00344BC7" w:rsidRDefault="006F042B" w:rsidP="00192678">
            <w:pPr>
              <w:jc w:val="center"/>
              <w:rPr>
                <w:b/>
                <w:bCs/>
                <w:sz w:val="20"/>
                <w:szCs w:val="20"/>
              </w:rPr>
            </w:pPr>
            <w:r w:rsidRPr="00344BC7">
              <w:rPr>
                <w:b/>
                <w:bCs/>
                <w:sz w:val="20"/>
                <w:szCs w:val="20"/>
              </w:rPr>
              <w:t>OSTVARENO U TEKUĆEM RAZDOBLJU</w:t>
            </w:r>
          </w:p>
        </w:tc>
        <w:tc>
          <w:tcPr>
            <w:tcW w:w="1275" w:type="dxa"/>
            <w:vAlign w:val="center"/>
          </w:tcPr>
          <w:p w14:paraId="5749F54F" w14:textId="77777777" w:rsidR="006F042B" w:rsidRPr="00344BC7" w:rsidRDefault="006F042B" w:rsidP="00192678">
            <w:pPr>
              <w:pStyle w:val="Naslov3"/>
              <w:rPr>
                <w:rFonts w:ascii="Times New Roman" w:hAnsi="Times New Roman" w:cs="Times New Roman"/>
                <w:sz w:val="20"/>
                <w:szCs w:val="20"/>
              </w:rPr>
            </w:pPr>
            <w:r w:rsidRPr="00344BC7">
              <w:rPr>
                <w:rFonts w:ascii="Times New Roman" w:hAnsi="Times New Roman" w:cs="Times New Roman"/>
                <w:sz w:val="20"/>
                <w:szCs w:val="20"/>
              </w:rPr>
              <w:t>INDEX</w:t>
            </w:r>
          </w:p>
        </w:tc>
      </w:tr>
      <w:tr w:rsidR="00632A19" w:rsidRPr="00344BC7" w14:paraId="2DC5E9B9" w14:textId="77777777" w:rsidTr="00E05517">
        <w:tc>
          <w:tcPr>
            <w:tcW w:w="3936" w:type="dxa"/>
          </w:tcPr>
          <w:p w14:paraId="0ACCF113" w14:textId="77777777" w:rsidR="00632A19" w:rsidRPr="00344BC7" w:rsidRDefault="00632A19" w:rsidP="00632A19">
            <w:pPr>
              <w:rPr>
                <w:sz w:val="20"/>
                <w:szCs w:val="20"/>
              </w:rPr>
            </w:pPr>
            <w:r w:rsidRPr="00344BC7">
              <w:rPr>
                <w:sz w:val="20"/>
                <w:szCs w:val="20"/>
              </w:rPr>
              <w:t>Pomoći iz inozemstva i od subjekata unutar općeg proračuna</w:t>
            </w:r>
          </w:p>
        </w:tc>
        <w:tc>
          <w:tcPr>
            <w:tcW w:w="2195" w:type="dxa"/>
          </w:tcPr>
          <w:p w14:paraId="73492DD5" w14:textId="729D583F" w:rsidR="00632A19" w:rsidRPr="00344BC7" w:rsidRDefault="00632A19" w:rsidP="00632A19">
            <w:pPr>
              <w:jc w:val="right"/>
              <w:rPr>
                <w:sz w:val="20"/>
                <w:szCs w:val="20"/>
                <w:u w:val="single"/>
              </w:rPr>
            </w:pPr>
            <w:r w:rsidRPr="00344BC7">
              <w:rPr>
                <w:sz w:val="20"/>
                <w:szCs w:val="20"/>
              </w:rPr>
              <w:t>9.387,60</w:t>
            </w:r>
          </w:p>
        </w:tc>
        <w:tc>
          <w:tcPr>
            <w:tcW w:w="2341" w:type="dxa"/>
          </w:tcPr>
          <w:p w14:paraId="59702C9A" w14:textId="12F8D1B7" w:rsidR="00632A19" w:rsidRPr="00344BC7" w:rsidRDefault="00632A19" w:rsidP="00632A19">
            <w:pPr>
              <w:jc w:val="right"/>
              <w:rPr>
                <w:sz w:val="20"/>
                <w:szCs w:val="20"/>
                <w:u w:val="single"/>
              </w:rPr>
            </w:pPr>
            <w:r w:rsidRPr="00344BC7">
              <w:rPr>
                <w:sz w:val="20"/>
                <w:szCs w:val="20"/>
              </w:rPr>
              <w:t>15.174,12</w:t>
            </w:r>
          </w:p>
        </w:tc>
        <w:tc>
          <w:tcPr>
            <w:tcW w:w="1275" w:type="dxa"/>
          </w:tcPr>
          <w:p w14:paraId="3F6C0343" w14:textId="73754B45" w:rsidR="00632A19" w:rsidRPr="00344BC7" w:rsidRDefault="00632A19" w:rsidP="00632A19">
            <w:pPr>
              <w:jc w:val="right"/>
              <w:rPr>
                <w:sz w:val="20"/>
                <w:szCs w:val="20"/>
                <w:u w:val="single"/>
              </w:rPr>
            </w:pPr>
            <w:r w:rsidRPr="00344BC7">
              <w:rPr>
                <w:sz w:val="20"/>
                <w:szCs w:val="20"/>
              </w:rPr>
              <w:t>161,6</w:t>
            </w:r>
          </w:p>
        </w:tc>
      </w:tr>
      <w:tr w:rsidR="00FD73F2" w:rsidRPr="00344BC7" w14:paraId="244C6164" w14:textId="77777777" w:rsidTr="00E05517">
        <w:tc>
          <w:tcPr>
            <w:tcW w:w="3936" w:type="dxa"/>
          </w:tcPr>
          <w:p w14:paraId="1CA42385" w14:textId="77777777" w:rsidR="00FD73F2" w:rsidRPr="00344BC7" w:rsidRDefault="00FD73F2" w:rsidP="00FD73F2">
            <w:pPr>
              <w:rPr>
                <w:sz w:val="20"/>
                <w:szCs w:val="20"/>
              </w:rPr>
            </w:pPr>
            <w:r w:rsidRPr="00344BC7">
              <w:rPr>
                <w:sz w:val="20"/>
                <w:szCs w:val="20"/>
              </w:rPr>
              <w:t>Kamata na depozite po viđenju</w:t>
            </w:r>
          </w:p>
        </w:tc>
        <w:tc>
          <w:tcPr>
            <w:tcW w:w="2195" w:type="dxa"/>
          </w:tcPr>
          <w:p w14:paraId="5FF35977" w14:textId="54C99537" w:rsidR="00FD73F2" w:rsidRPr="00344BC7" w:rsidRDefault="00FD73F2" w:rsidP="00FD73F2">
            <w:pPr>
              <w:jc w:val="right"/>
              <w:rPr>
                <w:sz w:val="20"/>
                <w:szCs w:val="20"/>
                <w:u w:val="single"/>
              </w:rPr>
            </w:pPr>
            <w:r w:rsidRPr="00344BC7">
              <w:rPr>
                <w:sz w:val="20"/>
                <w:szCs w:val="20"/>
              </w:rPr>
              <w:t>0,29</w:t>
            </w:r>
          </w:p>
        </w:tc>
        <w:tc>
          <w:tcPr>
            <w:tcW w:w="2341" w:type="dxa"/>
          </w:tcPr>
          <w:p w14:paraId="15BC1442" w14:textId="24DCB293" w:rsidR="00FD73F2" w:rsidRPr="00344BC7" w:rsidRDefault="00FD73F2" w:rsidP="00FD73F2">
            <w:pPr>
              <w:jc w:val="right"/>
              <w:rPr>
                <w:sz w:val="20"/>
                <w:szCs w:val="20"/>
                <w:u w:val="single"/>
              </w:rPr>
            </w:pPr>
            <w:r w:rsidRPr="00344BC7">
              <w:rPr>
                <w:sz w:val="20"/>
                <w:szCs w:val="20"/>
              </w:rPr>
              <w:t>9,59</w:t>
            </w:r>
          </w:p>
        </w:tc>
        <w:tc>
          <w:tcPr>
            <w:tcW w:w="1275" w:type="dxa"/>
          </w:tcPr>
          <w:p w14:paraId="6B61DC46" w14:textId="4E47AFD5" w:rsidR="00FD73F2" w:rsidRPr="00344BC7" w:rsidRDefault="00FD73F2" w:rsidP="00FD73F2">
            <w:pPr>
              <w:jc w:val="right"/>
              <w:rPr>
                <w:sz w:val="20"/>
                <w:szCs w:val="20"/>
                <w:u w:val="single"/>
              </w:rPr>
            </w:pPr>
            <w:r w:rsidRPr="00344BC7">
              <w:rPr>
                <w:sz w:val="20"/>
                <w:szCs w:val="20"/>
              </w:rPr>
              <w:t>3.306,9</w:t>
            </w:r>
          </w:p>
        </w:tc>
      </w:tr>
      <w:tr w:rsidR="00FD73F2" w:rsidRPr="00344BC7" w14:paraId="6E78CFA4" w14:textId="77777777" w:rsidTr="00E05517">
        <w:tc>
          <w:tcPr>
            <w:tcW w:w="3936" w:type="dxa"/>
          </w:tcPr>
          <w:p w14:paraId="21410BD4" w14:textId="77777777" w:rsidR="00FD73F2" w:rsidRPr="00344BC7" w:rsidRDefault="00FD73F2" w:rsidP="00FD73F2">
            <w:pPr>
              <w:rPr>
                <w:sz w:val="20"/>
                <w:szCs w:val="20"/>
              </w:rPr>
            </w:pPr>
            <w:r w:rsidRPr="00344BC7">
              <w:rPr>
                <w:sz w:val="20"/>
                <w:szCs w:val="20"/>
              </w:rPr>
              <w:t>Ostali nespomenuti prihodi</w:t>
            </w:r>
          </w:p>
        </w:tc>
        <w:tc>
          <w:tcPr>
            <w:tcW w:w="2195" w:type="dxa"/>
          </w:tcPr>
          <w:p w14:paraId="576F76F7" w14:textId="3234CD7D" w:rsidR="00FD73F2" w:rsidRPr="00344BC7" w:rsidRDefault="00FD73F2" w:rsidP="00FD73F2">
            <w:pPr>
              <w:jc w:val="right"/>
              <w:rPr>
                <w:sz w:val="20"/>
                <w:szCs w:val="20"/>
                <w:u w:val="single"/>
              </w:rPr>
            </w:pPr>
            <w:r w:rsidRPr="00344BC7">
              <w:rPr>
                <w:sz w:val="20"/>
                <w:szCs w:val="20"/>
              </w:rPr>
              <w:t>4.077,08</w:t>
            </w:r>
          </w:p>
        </w:tc>
        <w:tc>
          <w:tcPr>
            <w:tcW w:w="2341" w:type="dxa"/>
          </w:tcPr>
          <w:p w14:paraId="6A33CF59" w14:textId="7B093222" w:rsidR="00FD73F2" w:rsidRPr="00344BC7" w:rsidRDefault="00FD73F2" w:rsidP="00FD73F2">
            <w:pPr>
              <w:jc w:val="right"/>
              <w:rPr>
                <w:sz w:val="20"/>
                <w:szCs w:val="20"/>
                <w:u w:val="single"/>
              </w:rPr>
            </w:pPr>
            <w:r w:rsidRPr="00344BC7">
              <w:rPr>
                <w:sz w:val="20"/>
                <w:szCs w:val="20"/>
              </w:rPr>
              <w:t>5.728,69</w:t>
            </w:r>
          </w:p>
        </w:tc>
        <w:tc>
          <w:tcPr>
            <w:tcW w:w="1275" w:type="dxa"/>
          </w:tcPr>
          <w:p w14:paraId="60A67F91" w14:textId="4FAF72A1" w:rsidR="00FD73F2" w:rsidRPr="00344BC7" w:rsidRDefault="00FD73F2" w:rsidP="00FD73F2">
            <w:pPr>
              <w:jc w:val="right"/>
              <w:rPr>
                <w:sz w:val="20"/>
                <w:szCs w:val="20"/>
                <w:u w:val="single"/>
              </w:rPr>
            </w:pPr>
            <w:r w:rsidRPr="00344BC7">
              <w:rPr>
                <w:sz w:val="20"/>
                <w:szCs w:val="20"/>
              </w:rPr>
              <w:t>140,5</w:t>
            </w:r>
          </w:p>
        </w:tc>
      </w:tr>
      <w:tr w:rsidR="00FD73F2" w:rsidRPr="00344BC7" w14:paraId="1A3AF216" w14:textId="77777777" w:rsidTr="00E05517">
        <w:tc>
          <w:tcPr>
            <w:tcW w:w="3936" w:type="dxa"/>
          </w:tcPr>
          <w:p w14:paraId="2BC2AAFC" w14:textId="77777777" w:rsidR="00FD73F2" w:rsidRPr="00344BC7" w:rsidRDefault="00FD73F2" w:rsidP="00FD73F2">
            <w:pPr>
              <w:rPr>
                <w:sz w:val="20"/>
                <w:szCs w:val="20"/>
              </w:rPr>
            </w:pPr>
            <w:r w:rsidRPr="00344BC7">
              <w:rPr>
                <w:sz w:val="20"/>
                <w:szCs w:val="20"/>
              </w:rPr>
              <w:t>Prihodi iz  nadležnog proračuna za financiranje rashoda poslovanja</w:t>
            </w:r>
          </w:p>
        </w:tc>
        <w:tc>
          <w:tcPr>
            <w:tcW w:w="2195" w:type="dxa"/>
          </w:tcPr>
          <w:p w14:paraId="6626484E" w14:textId="54BCB5A4" w:rsidR="00FD73F2" w:rsidRPr="00344BC7" w:rsidRDefault="00FD73F2" w:rsidP="00FD73F2">
            <w:pPr>
              <w:jc w:val="right"/>
              <w:rPr>
                <w:sz w:val="20"/>
                <w:szCs w:val="20"/>
                <w:u w:val="single"/>
              </w:rPr>
            </w:pPr>
            <w:r w:rsidRPr="00344BC7">
              <w:rPr>
                <w:sz w:val="20"/>
                <w:szCs w:val="20"/>
              </w:rPr>
              <w:t>171.447,51</w:t>
            </w:r>
          </w:p>
        </w:tc>
        <w:tc>
          <w:tcPr>
            <w:tcW w:w="2341" w:type="dxa"/>
          </w:tcPr>
          <w:p w14:paraId="65B0D278" w14:textId="6A163765" w:rsidR="00FD73F2" w:rsidRPr="00344BC7" w:rsidRDefault="00FD73F2" w:rsidP="00FD73F2">
            <w:pPr>
              <w:jc w:val="right"/>
              <w:rPr>
                <w:sz w:val="20"/>
                <w:szCs w:val="20"/>
                <w:u w:val="single"/>
              </w:rPr>
            </w:pPr>
            <w:r w:rsidRPr="00344BC7">
              <w:rPr>
                <w:sz w:val="20"/>
                <w:szCs w:val="20"/>
              </w:rPr>
              <w:t>185.842,16</w:t>
            </w:r>
          </w:p>
        </w:tc>
        <w:tc>
          <w:tcPr>
            <w:tcW w:w="1275" w:type="dxa"/>
          </w:tcPr>
          <w:p w14:paraId="4B872248" w14:textId="5AAB20F1" w:rsidR="00FD73F2" w:rsidRPr="00344BC7" w:rsidRDefault="00FD73F2" w:rsidP="00FD73F2">
            <w:pPr>
              <w:jc w:val="right"/>
              <w:rPr>
                <w:sz w:val="20"/>
                <w:szCs w:val="20"/>
                <w:u w:val="single"/>
              </w:rPr>
            </w:pPr>
            <w:r w:rsidRPr="00344BC7">
              <w:rPr>
                <w:sz w:val="20"/>
                <w:szCs w:val="20"/>
              </w:rPr>
              <w:t>108,4</w:t>
            </w:r>
          </w:p>
        </w:tc>
      </w:tr>
      <w:tr w:rsidR="00FD73F2" w:rsidRPr="00344BC7" w14:paraId="6351AFD3" w14:textId="77777777" w:rsidTr="00E05517">
        <w:tc>
          <w:tcPr>
            <w:tcW w:w="3936" w:type="dxa"/>
          </w:tcPr>
          <w:p w14:paraId="6265E5DF" w14:textId="77777777" w:rsidR="00FD73F2" w:rsidRPr="00344BC7" w:rsidRDefault="00FD73F2" w:rsidP="00FD73F2">
            <w:pPr>
              <w:rPr>
                <w:sz w:val="20"/>
                <w:szCs w:val="20"/>
              </w:rPr>
            </w:pPr>
            <w:r w:rsidRPr="00344BC7">
              <w:rPr>
                <w:sz w:val="20"/>
                <w:szCs w:val="20"/>
              </w:rPr>
              <w:t>Prihodi iz nadležnog proračuna za financiranje rashoda za nabavu nefinancijske imovine</w:t>
            </w:r>
          </w:p>
        </w:tc>
        <w:tc>
          <w:tcPr>
            <w:tcW w:w="2195" w:type="dxa"/>
          </w:tcPr>
          <w:p w14:paraId="7A307878" w14:textId="2A6B87E5" w:rsidR="00FD73F2" w:rsidRPr="00344BC7" w:rsidRDefault="00FD73F2" w:rsidP="00FD73F2">
            <w:pPr>
              <w:jc w:val="right"/>
              <w:rPr>
                <w:sz w:val="20"/>
                <w:szCs w:val="20"/>
                <w:u w:val="single"/>
              </w:rPr>
            </w:pPr>
            <w:r w:rsidRPr="00344BC7">
              <w:rPr>
                <w:sz w:val="20"/>
                <w:szCs w:val="20"/>
              </w:rPr>
              <w:t>603,89</w:t>
            </w:r>
          </w:p>
        </w:tc>
        <w:tc>
          <w:tcPr>
            <w:tcW w:w="2341" w:type="dxa"/>
          </w:tcPr>
          <w:p w14:paraId="308A9958" w14:textId="62BF4433" w:rsidR="00FD73F2" w:rsidRPr="00344BC7" w:rsidRDefault="00FD73F2" w:rsidP="00FD73F2">
            <w:pPr>
              <w:jc w:val="right"/>
              <w:rPr>
                <w:sz w:val="20"/>
                <w:szCs w:val="20"/>
                <w:u w:val="single"/>
              </w:rPr>
            </w:pPr>
            <w:r w:rsidRPr="00344BC7">
              <w:rPr>
                <w:sz w:val="20"/>
                <w:szCs w:val="20"/>
              </w:rPr>
              <w:t>1.667,27</w:t>
            </w:r>
          </w:p>
        </w:tc>
        <w:tc>
          <w:tcPr>
            <w:tcW w:w="1275" w:type="dxa"/>
          </w:tcPr>
          <w:p w14:paraId="50298149" w14:textId="7AEDD4C6" w:rsidR="00FD73F2" w:rsidRPr="00344BC7" w:rsidRDefault="00FD73F2" w:rsidP="00FD73F2">
            <w:pPr>
              <w:jc w:val="right"/>
              <w:rPr>
                <w:sz w:val="20"/>
                <w:szCs w:val="20"/>
                <w:u w:val="single"/>
              </w:rPr>
            </w:pPr>
            <w:r w:rsidRPr="00344BC7">
              <w:rPr>
                <w:sz w:val="20"/>
                <w:szCs w:val="20"/>
              </w:rPr>
              <w:t>276,1</w:t>
            </w:r>
          </w:p>
        </w:tc>
      </w:tr>
      <w:tr w:rsidR="001F118D" w:rsidRPr="00344BC7" w14:paraId="065C4D6C" w14:textId="77777777" w:rsidTr="00E05517">
        <w:tc>
          <w:tcPr>
            <w:tcW w:w="3936" w:type="dxa"/>
          </w:tcPr>
          <w:p w14:paraId="3C025B93" w14:textId="77777777" w:rsidR="001F118D" w:rsidRPr="00344BC7" w:rsidRDefault="001F118D" w:rsidP="001F118D">
            <w:pPr>
              <w:rPr>
                <w:b/>
                <w:bCs/>
                <w:i/>
                <w:iCs/>
                <w:sz w:val="20"/>
                <w:szCs w:val="20"/>
              </w:rPr>
            </w:pPr>
            <w:r w:rsidRPr="00344BC7">
              <w:rPr>
                <w:b/>
                <w:bCs/>
                <w:i/>
                <w:iCs/>
                <w:sz w:val="20"/>
                <w:szCs w:val="20"/>
              </w:rPr>
              <w:t>UKUPNO  OSTVARENI  PRIHODI:</w:t>
            </w:r>
          </w:p>
        </w:tc>
        <w:tc>
          <w:tcPr>
            <w:tcW w:w="2195" w:type="dxa"/>
          </w:tcPr>
          <w:p w14:paraId="417FF077" w14:textId="19802991" w:rsidR="001F118D" w:rsidRPr="00344BC7" w:rsidRDefault="001F118D" w:rsidP="001F118D">
            <w:pPr>
              <w:jc w:val="right"/>
              <w:rPr>
                <w:b/>
                <w:bCs/>
                <w:sz w:val="20"/>
                <w:szCs w:val="20"/>
                <w:u w:val="single"/>
              </w:rPr>
            </w:pPr>
            <w:r w:rsidRPr="00344BC7">
              <w:rPr>
                <w:b/>
                <w:bCs/>
                <w:sz w:val="20"/>
                <w:szCs w:val="20"/>
              </w:rPr>
              <w:t>185.516,37</w:t>
            </w:r>
          </w:p>
        </w:tc>
        <w:tc>
          <w:tcPr>
            <w:tcW w:w="2341" w:type="dxa"/>
          </w:tcPr>
          <w:p w14:paraId="6438EBCE" w14:textId="5006F73C" w:rsidR="001F118D" w:rsidRPr="00344BC7" w:rsidRDefault="001F118D" w:rsidP="001F118D">
            <w:pPr>
              <w:jc w:val="right"/>
              <w:rPr>
                <w:b/>
                <w:bCs/>
                <w:sz w:val="20"/>
                <w:szCs w:val="20"/>
                <w:u w:val="single"/>
              </w:rPr>
            </w:pPr>
            <w:r w:rsidRPr="00344BC7">
              <w:rPr>
                <w:b/>
                <w:bCs/>
                <w:sz w:val="20"/>
                <w:szCs w:val="20"/>
              </w:rPr>
              <w:t>208.421,83</w:t>
            </w:r>
          </w:p>
        </w:tc>
        <w:tc>
          <w:tcPr>
            <w:tcW w:w="1275" w:type="dxa"/>
          </w:tcPr>
          <w:p w14:paraId="76BB3139" w14:textId="71335B82" w:rsidR="001F118D" w:rsidRPr="00344BC7" w:rsidRDefault="001F118D" w:rsidP="001F118D">
            <w:pPr>
              <w:jc w:val="right"/>
              <w:rPr>
                <w:b/>
                <w:bCs/>
                <w:sz w:val="20"/>
                <w:szCs w:val="20"/>
                <w:u w:val="single"/>
              </w:rPr>
            </w:pPr>
            <w:r w:rsidRPr="00344BC7">
              <w:rPr>
                <w:b/>
                <w:bCs/>
                <w:sz w:val="20"/>
                <w:szCs w:val="20"/>
              </w:rPr>
              <w:t>112,3</w:t>
            </w:r>
          </w:p>
        </w:tc>
      </w:tr>
    </w:tbl>
    <w:p w14:paraId="1E12E980" w14:textId="77777777" w:rsidR="006F042B" w:rsidRPr="00344BC7" w:rsidRDefault="006F042B" w:rsidP="006F042B">
      <w:pPr>
        <w:rPr>
          <w:sz w:val="20"/>
          <w:szCs w:val="20"/>
        </w:rPr>
      </w:pPr>
    </w:p>
    <w:p w14:paraId="56948EFE" w14:textId="77777777" w:rsidR="006F042B" w:rsidRPr="00344BC7" w:rsidRDefault="006F042B" w:rsidP="006F042B">
      <w:pPr>
        <w:rPr>
          <w:sz w:val="20"/>
          <w:szCs w:val="20"/>
        </w:rPr>
      </w:pPr>
    </w:p>
    <w:p w14:paraId="1C3E88A8" w14:textId="097E8271" w:rsidR="006F042B" w:rsidRPr="00344BC7" w:rsidRDefault="006F042B" w:rsidP="006F042B">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Pomoći se odnose na pomoći iz Vukovarsko-srijemske Županije</w:t>
      </w:r>
      <w:r w:rsidR="00632A19" w:rsidRPr="00344BC7">
        <w:rPr>
          <w:rFonts w:ascii="Times New Roman" w:hAnsi="Times New Roman" w:cs="Times New Roman"/>
          <w:sz w:val="20"/>
          <w:szCs w:val="20"/>
        </w:rPr>
        <w:t>,</w:t>
      </w:r>
      <w:r w:rsidR="00FD73F2" w:rsidRPr="00344BC7">
        <w:rPr>
          <w:rFonts w:ascii="Times New Roman" w:hAnsi="Times New Roman" w:cs="Times New Roman"/>
          <w:sz w:val="20"/>
          <w:szCs w:val="20"/>
        </w:rPr>
        <w:t xml:space="preserve"> </w:t>
      </w:r>
      <w:r w:rsidRPr="00344BC7">
        <w:rPr>
          <w:rFonts w:ascii="Times New Roman" w:hAnsi="Times New Roman" w:cs="Times New Roman"/>
          <w:sz w:val="20"/>
          <w:szCs w:val="20"/>
        </w:rPr>
        <w:t>Ministarstva kulture</w:t>
      </w:r>
      <w:r w:rsidR="00632A19" w:rsidRPr="00344BC7">
        <w:rPr>
          <w:rFonts w:ascii="Times New Roman" w:hAnsi="Times New Roman" w:cs="Times New Roman"/>
          <w:sz w:val="20"/>
          <w:szCs w:val="20"/>
        </w:rPr>
        <w:t xml:space="preserve"> i lokalne Turističke zajednice </w:t>
      </w:r>
      <w:r w:rsidRPr="00344BC7">
        <w:rPr>
          <w:rFonts w:ascii="Times New Roman" w:hAnsi="Times New Roman" w:cs="Times New Roman"/>
          <w:sz w:val="20"/>
          <w:szCs w:val="20"/>
        </w:rPr>
        <w:t xml:space="preserve"> za </w:t>
      </w:r>
      <w:r w:rsidR="00C603B7" w:rsidRPr="00344BC7">
        <w:rPr>
          <w:rFonts w:ascii="Times New Roman" w:hAnsi="Times New Roman" w:cs="Times New Roman"/>
          <w:sz w:val="20"/>
          <w:szCs w:val="20"/>
        </w:rPr>
        <w:t>programske aktivnosti muzeja</w:t>
      </w:r>
      <w:r w:rsidR="00632A19" w:rsidRPr="00344BC7">
        <w:rPr>
          <w:rFonts w:ascii="Times New Roman" w:hAnsi="Times New Roman" w:cs="Times New Roman"/>
          <w:sz w:val="20"/>
          <w:szCs w:val="20"/>
        </w:rPr>
        <w:t xml:space="preserve">, gdje naspram prethodne godine </w:t>
      </w:r>
      <w:r w:rsidR="00FD73F2" w:rsidRPr="00344BC7">
        <w:rPr>
          <w:rFonts w:ascii="Times New Roman" w:hAnsi="Times New Roman" w:cs="Times New Roman"/>
          <w:sz w:val="20"/>
          <w:szCs w:val="20"/>
        </w:rPr>
        <w:t>ostvario</w:t>
      </w:r>
      <w:r w:rsidR="00632A19" w:rsidRPr="00344BC7">
        <w:rPr>
          <w:rFonts w:ascii="Times New Roman" w:hAnsi="Times New Roman" w:cs="Times New Roman"/>
          <w:sz w:val="20"/>
          <w:szCs w:val="20"/>
        </w:rPr>
        <w:t xml:space="preserve"> i kapitalni prihod </w:t>
      </w:r>
      <w:r w:rsidR="00FD73F2" w:rsidRPr="00344BC7">
        <w:rPr>
          <w:rFonts w:ascii="Times New Roman" w:hAnsi="Times New Roman" w:cs="Times New Roman"/>
          <w:sz w:val="20"/>
          <w:szCs w:val="20"/>
        </w:rPr>
        <w:t>radi nabave novog računala za stručni rad muzeja</w:t>
      </w:r>
      <w:r w:rsidRPr="00344BC7">
        <w:rPr>
          <w:rFonts w:ascii="Times New Roman" w:hAnsi="Times New Roman" w:cs="Times New Roman"/>
          <w:sz w:val="20"/>
          <w:szCs w:val="20"/>
        </w:rPr>
        <w:t>.</w:t>
      </w:r>
      <w:r w:rsidR="00C603B7" w:rsidRPr="00344BC7">
        <w:rPr>
          <w:rFonts w:ascii="Times New Roman" w:hAnsi="Times New Roman" w:cs="Times New Roman"/>
          <w:sz w:val="20"/>
          <w:szCs w:val="20"/>
        </w:rPr>
        <w:t xml:space="preserve"> </w:t>
      </w:r>
    </w:p>
    <w:p w14:paraId="260D5B77" w14:textId="016A0BEE" w:rsidR="006F042B" w:rsidRPr="00344BC7" w:rsidRDefault="004722CB" w:rsidP="006F042B">
      <w:pPr>
        <w:pStyle w:val="Tijeloteksta"/>
        <w:jc w:val="left"/>
        <w:rPr>
          <w:rFonts w:ascii="Times New Roman" w:hAnsi="Times New Roman" w:cs="Times New Roman"/>
          <w:sz w:val="20"/>
          <w:szCs w:val="20"/>
        </w:rPr>
      </w:pPr>
      <w:r w:rsidRPr="00344BC7">
        <w:rPr>
          <w:rFonts w:ascii="Times New Roman" w:hAnsi="Times New Roman" w:cs="Times New Roman"/>
          <w:sz w:val="20"/>
          <w:szCs w:val="20"/>
        </w:rPr>
        <w:t xml:space="preserve">Velika razlika kamata na depozitu po viđenju se odnosi </w:t>
      </w:r>
      <w:r w:rsidR="00FD73F2" w:rsidRPr="00344BC7">
        <w:rPr>
          <w:rFonts w:ascii="Times New Roman" w:hAnsi="Times New Roman" w:cs="Times New Roman"/>
          <w:sz w:val="20"/>
          <w:szCs w:val="20"/>
        </w:rPr>
        <w:t>na pogodnosti koj</w:t>
      </w:r>
      <w:r w:rsidR="001F118D" w:rsidRPr="00344BC7">
        <w:rPr>
          <w:rFonts w:ascii="Times New Roman" w:hAnsi="Times New Roman" w:cs="Times New Roman"/>
          <w:sz w:val="20"/>
          <w:szCs w:val="20"/>
        </w:rPr>
        <w:t>i je</w:t>
      </w:r>
      <w:r w:rsidR="00FD73F2" w:rsidRPr="00344BC7">
        <w:rPr>
          <w:rFonts w:ascii="Times New Roman" w:hAnsi="Times New Roman" w:cs="Times New Roman"/>
          <w:sz w:val="20"/>
          <w:szCs w:val="20"/>
        </w:rPr>
        <w:t xml:space="preserve"> </w:t>
      </w:r>
      <w:proofErr w:type="spellStart"/>
      <w:r w:rsidR="00FD73F2" w:rsidRPr="00344BC7">
        <w:rPr>
          <w:rFonts w:ascii="Times New Roman" w:hAnsi="Times New Roman" w:cs="Times New Roman"/>
          <w:sz w:val="20"/>
          <w:szCs w:val="20"/>
        </w:rPr>
        <w:t>donjeo</w:t>
      </w:r>
      <w:proofErr w:type="spellEnd"/>
      <w:r w:rsidR="00FD73F2" w:rsidRPr="00344BC7">
        <w:rPr>
          <w:rFonts w:ascii="Times New Roman" w:hAnsi="Times New Roman" w:cs="Times New Roman"/>
          <w:sz w:val="20"/>
          <w:szCs w:val="20"/>
        </w:rPr>
        <w:t xml:space="preserve"> prelazak Republike Hrvatske na monetarni sustav Europske unije – EURO, što je dovelo i do većih kamatnih stopa.</w:t>
      </w:r>
    </w:p>
    <w:p w14:paraId="697AB42D" w14:textId="0DB9F66A" w:rsidR="006F042B" w:rsidRPr="00344BC7" w:rsidRDefault="006F042B" w:rsidP="006F042B">
      <w:pPr>
        <w:pStyle w:val="Tijeloteksta"/>
        <w:ind w:firstLine="708"/>
        <w:jc w:val="left"/>
        <w:rPr>
          <w:rFonts w:ascii="Times New Roman" w:hAnsi="Times New Roman" w:cs="Times New Roman"/>
          <w:sz w:val="20"/>
          <w:szCs w:val="20"/>
        </w:rPr>
      </w:pPr>
      <w:r w:rsidRPr="00344BC7">
        <w:rPr>
          <w:rFonts w:ascii="Times New Roman" w:hAnsi="Times New Roman" w:cs="Times New Roman"/>
          <w:sz w:val="20"/>
          <w:szCs w:val="20"/>
        </w:rPr>
        <w:t xml:space="preserve">Kod ostalih prihoda </w:t>
      </w:r>
      <w:r w:rsidR="00FD73F2" w:rsidRPr="00344BC7">
        <w:rPr>
          <w:rFonts w:ascii="Times New Roman" w:hAnsi="Times New Roman" w:cs="Times New Roman"/>
          <w:sz w:val="20"/>
          <w:szCs w:val="20"/>
        </w:rPr>
        <w:t>postoji uvećanje zbog ostvarene odštete od osiguranja radi sanacije štete krova izazvane nevremenom koji se dogodio tokom 2023. na području Županje i šire.</w:t>
      </w:r>
    </w:p>
    <w:p w14:paraId="16FD8738" w14:textId="702C5581" w:rsidR="00FD73F2" w:rsidRPr="00344BC7" w:rsidRDefault="00FD73F2" w:rsidP="006F042B">
      <w:pPr>
        <w:pStyle w:val="Tijeloteksta"/>
        <w:ind w:firstLine="708"/>
        <w:jc w:val="left"/>
        <w:rPr>
          <w:rFonts w:ascii="Times New Roman" w:hAnsi="Times New Roman" w:cs="Times New Roman"/>
          <w:sz w:val="20"/>
          <w:szCs w:val="20"/>
        </w:rPr>
      </w:pPr>
      <w:r w:rsidRPr="00344BC7">
        <w:rPr>
          <w:rFonts w:ascii="Times New Roman" w:hAnsi="Times New Roman" w:cs="Times New Roman"/>
          <w:sz w:val="20"/>
          <w:szCs w:val="20"/>
        </w:rPr>
        <w:t xml:space="preserve">Prihodi od osnivača su blago porasli zbog financiranje projekata muzeja i zaposlenja novog djelatnika, a za </w:t>
      </w:r>
      <w:r w:rsidR="001F118D" w:rsidRPr="00344BC7">
        <w:rPr>
          <w:rFonts w:ascii="Times New Roman" w:hAnsi="Times New Roman" w:cs="Times New Roman"/>
          <w:sz w:val="20"/>
          <w:szCs w:val="20"/>
        </w:rPr>
        <w:t>nefinancijsku</w:t>
      </w:r>
      <w:r w:rsidRPr="00344BC7">
        <w:rPr>
          <w:rFonts w:ascii="Times New Roman" w:hAnsi="Times New Roman" w:cs="Times New Roman"/>
          <w:sz w:val="20"/>
          <w:szCs w:val="20"/>
        </w:rPr>
        <w:t xml:space="preserve"> imovinu zbog </w:t>
      </w:r>
      <w:proofErr w:type="spellStart"/>
      <w:r w:rsidRPr="00344BC7">
        <w:rPr>
          <w:rFonts w:ascii="Times New Roman" w:hAnsi="Times New Roman" w:cs="Times New Roman"/>
          <w:sz w:val="20"/>
          <w:szCs w:val="20"/>
        </w:rPr>
        <w:t>daljne</w:t>
      </w:r>
      <w:proofErr w:type="spellEnd"/>
      <w:r w:rsidRPr="00344BC7">
        <w:rPr>
          <w:rFonts w:ascii="Times New Roman" w:hAnsi="Times New Roman" w:cs="Times New Roman"/>
          <w:sz w:val="20"/>
          <w:szCs w:val="20"/>
        </w:rPr>
        <w:t xml:space="preserve"> obnove namještaja i opreme muzeja.</w:t>
      </w:r>
    </w:p>
    <w:p w14:paraId="12A67971" w14:textId="77777777" w:rsidR="006F042B" w:rsidRDefault="006F042B" w:rsidP="006F042B">
      <w:pPr>
        <w:pStyle w:val="Tijeloteksta"/>
        <w:ind w:left="1068"/>
        <w:rPr>
          <w:rFonts w:ascii="Times New Roman" w:hAnsi="Times New Roman" w:cs="Times New Roman"/>
          <w:b/>
          <w:bCs/>
          <w:sz w:val="20"/>
          <w:szCs w:val="20"/>
        </w:rPr>
      </w:pPr>
    </w:p>
    <w:p w14:paraId="6D32B2BB" w14:textId="77777777" w:rsidR="003F5EA9" w:rsidRPr="00344BC7" w:rsidRDefault="003F5EA9" w:rsidP="006F042B">
      <w:pPr>
        <w:pStyle w:val="Tijeloteksta"/>
        <w:ind w:left="1068"/>
        <w:rPr>
          <w:rFonts w:ascii="Times New Roman" w:hAnsi="Times New Roman" w:cs="Times New Roman"/>
          <w:b/>
          <w:bCs/>
          <w:sz w:val="20"/>
          <w:szCs w:val="20"/>
        </w:rPr>
      </w:pPr>
    </w:p>
    <w:p w14:paraId="3053ACB0" w14:textId="6EA48EEB" w:rsidR="006F042B" w:rsidRPr="003F5EA9" w:rsidRDefault="006F042B" w:rsidP="003F5EA9">
      <w:pPr>
        <w:pStyle w:val="Tijeloteksta"/>
        <w:numPr>
          <w:ilvl w:val="0"/>
          <w:numId w:val="2"/>
        </w:numPr>
        <w:rPr>
          <w:rFonts w:ascii="Times New Roman" w:hAnsi="Times New Roman" w:cs="Times New Roman"/>
          <w:b/>
          <w:bCs/>
          <w:sz w:val="20"/>
          <w:szCs w:val="20"/>
        </w:rPr>
      </w:pPr>
      <w:r w:rsidRPr="00344BC7">
        <w:rPr>
          <w:rFonts w:ascii="Times New Roman" w:hAnsi="Times New Roman" w:cs="Times New Roman"/>
          <w:b/>
          <w:bCs/>
          <w:sz w:val="20"/>
          <w:szCs w:val="20"/>
        </w:rPr>
        <w:t>RASHODI</w:t>
      </w:r>
    </w:p>
    <w:p w14:paraId="1514A405" w14:textId="77777777" w:rsidR="006F042B" w:rsidRPr="00344BC7" w:rsidRDefault="006F042B" w:rsidP="006F042B">
      <w:pPr>
        <w:pStyle w:val="Tijeloteksta"/>
        <w:ind w:left="1068"/>
        <w:rPr>
          <w:rFonts w:ascii="Times New Roman" w:hAnsi="Times New Roman" w:cs="Times New Roman"/>
          <w:b/>
          <w:bCs/>
          <w:sz w:val="20"/>
          <w:szCs w:val="20"/>
        </w:rPr>
      </w:pPr>
    </w:p>
    <w:p w14:paraId="53E5239D" w14:textId="77777777" w:rsidR="006F042B" w:rsidRPr="00344BC7" w:rsidRDefault="006F042B" w:rsidP="006F042B">
      <w:pPr>
        <w:ind w:firstLine="708"/>
        <w:jc w:val="both"/>
        <w:rPr>
          <w:sz w:val="20"/>
          <w:szCs w:val="20"/>
        </w:rPr>
      </w:pPr>
      <w:r w:rsidRPr="00344BC7">
        <w:rPr>
          <w:sz w:val="20"/>
          <w:szCs w:val="20"/>
        </w:rPr>
        <w:t xml:space="preserve">Rashodi poslovanja  u razdoblju </w:t>
      </w:r>
      <w:r w:rsidR="007731F4" w:rsidRPr="00344BC7">
        <w:rPr>
          <w:sz w:val="20"/>
          <w:szCs w:val="20"/>
        </w:rPr>
        <w:t xml:space="preserve">od 01.01.2023. do 31.12.2023. godine </w:t>
      </w:r>
      <w:r w:rsidRPr="00344BC7">
        <w:rPr>
          <w:sz w:val="20"/>
          <w:szCs w:val="20"/>
        </w:rPr>
        <w:t>ostvareni su u  slijedećim iznosima:</w:t>
      </w:r>
    </w:p>
    <w:p w14:paraId="18942909" w14:textId="77777777" w:rsidR="006F042B" w:rsidRPr="00344BC7" w:rsidRDefault="006F042B" w:rsidP="006F042B">
      <w:pPr>
        <w:pStyle w:val="Tijeloteksta"/>
        <w:rPr>
          <w:rFonts w:ascii="Times New Roman" w:hAnsi="Times New Roman" w:cs="Times New Roman"/>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2"/>
        <w:gridCol w:w="2036"/>
        <w:gridCol w:w="2186"/>
        <w:gridCol w:w="1440"/>
      </w:tblGrid>
      <w:tr w:rsidR="006F042B" w:rsidRPr="00344BC7" w14:paraId="3DB868F4" w14:textId="77777777" w:rsidTr="009D7E63">
        <w:trPr>
          <w:trHeight w:val="1327"/>
        </w:trPr>
        <w:tc>
          <w:tcPr>
            <w:tcW w:w="4192" w:type="dxa"/>
            <w:vAlign w:val="center"/>
          </w:tcPr>
          <w:p w14:paraId="06F7006F" w14:textId="77777777" w:rsidR="006F042B" w:rsidRPr="00344BC7" w:rsidRDefault="006F042B" w:rsidP="00192678">
            <w:pPr>
              <w:pStyle w:val="Naslov4"/>
              <w:rPr>
                <w:rFonts w:ascii="Times New Roman" w:hAnsi="Times New Roman" w:cs="Times New Roman"/>
                <w:szCs w:val="20"/>
              </w:rPr>
            </w:pPr>
            <w:r w:rsidRPr="00344BC7">
              <w:rPr>
                <w:rFonts w:ascii="Times New Roman" w:hAnsi="Times New Roman" w:cs="Times New Roman"/>
                <w:szCs w:val="20"/>
              </w:rPr>
              <w:lastRenderedPageBreak/>
              <w:t>VRSTA RASHODA</w:t>
            </w:r>
          </w:p>
        </w:tc>
        <w:tc>
          <w:tcPr>
            <w:tcW w:w="2036" w:type="dxa"/>
            <w:vAlign w:val="center"/>
          </w:tcPr>
          <w:p w14:paraId="4CD864B6" w14:textId="77777777" w:rsidR="006F042B" w:rsidRPr="00344BC7" w:rsidRDefault="006F042B" w:rsidP="00192678">
            <w:pPr>
              <w:jc w:val="center"/>
              <w:rPr>
                <w:b/>
                <w:bCs/>
                <w:sz w:val="20"/>
                <w:szCs w:val="20"/>
              </w:rPr>
            </w:pPr>
            <w:r w:rsidRPr="00344BC7">
              <w:rPr>
                <w:b/>
                <w:bCs/>
                <w:sz w:val="20"/>
                <w:szCs w:val="20"/>
              </w:rPr>
              <w:t>OSTVARENO U  IZVJEŠTAJNOM RAZDOBLJU  PRETHODNE GODINE</w:t>
            </w:r>
          </w:p>
        </w:tc>
        <w:tc>
          <w:tcPr>
            <w:tcW w:w="2186" w:type="dxa"/>
            <w:vAlign w:val="center"/>
          </w:tcPr>
          <w:p w14:paraId="249C7169" w14:textId="77777777" w:rsidR="006F042B" w:rsidRPr="00344BC7" w:rsidRDefault="006F042B" w:rsidP="00192678">
            <w:pPr>
              <w:jc w:val="center"/>
              <w:rPr>
                <w:b/>
                <w:bCs/>
                <w:sz w:val="20"/>
                <w:szCs w:val="20"/>
              </w:rPr>
            </w:pPr>
            <w:r w:rsidRPr="00344BC7">
              <w:rPr>
                <w:b/>
                <w:bCs/>
                <w:sz w:val="20"/>
                <w:szCs w:val="20"/>
              </w:rPr>
              <w:t>OSTVARENO U TEKUĆEM RAZDOBLJU</w:t>
            </w:r>
          </w:p>
        </w:tc>
        <w:tc>
          <w:tcPr>
            <w:tcW w:w="1440" w:type="dxa"/>
            <w:vAlign w:val="center"/>
          </w:tcPr>
          <w:p w14:paraId="20B79413" w14:textId="77777777" w:rsidR="006F042B" w:rsidRPr="00344BC7" w:rsidRDefault="006F042B" w:rsidP="00192678">
            <w:pPr>
              <w:pStyle w:val="Naslov3"/>
              <w:rPr>
                <w:rFonts w:ascii="Times New Roman" w:hAnsi="Times New Roman" w:cs="Times New Roman"/>
                <w:sz w:val="20"/>
                <w:szCs w:val="20"/>
              </w:rPr>
            </w:pPr>
            <w:r w:rsidRPr="00344BC7">
              <w:rPr>
                <w:rFonts w:ascii="Times New Roman" w:hAnsi="Times New Roman" w:cs="Times New Roman"/>
                <w:sz w:val="20"/>
                <w:szCs w:val="20"/>
              </w:rPr>
              <w:t>INDEX</w:t>
            </w:r>
          </w:p>
        </w:tc>
      </w:tr>
      <w:tr w:rsidR="001F118D" w:rsidRPr="00344BC7" w14:paraId="61F9541E" w14:textId="77777777" w:rsidTr="009D7E63">
        <w:tc>
          <w:tcPr>
            <w:tcW w:w="4192" w:type="dxa"/>
          </w:tcPr>
          <w:p w14:paraId="669F407D" w14:textId="77777777" w:rsidR="001F118D" w:rsidRPr="00344BC7" w:rsidRDefault="001F118D" w:rsidP="001F118D">
            <w:pPr>
              <w:rPr>
                <w:sz w:val="20"/>
                <w:szCs w:val="20"/>
              </w:rPr>
            </w:pPr>
            <w:r w:rsidRPr="00344BC7">
              <w:rPr>
                <w:sz w:val="20"/>
                <w:szCs w:val="20"/>
              </w:rPr>
              <w:t xml:space="preserve">Plaće </w:t>
            </w:r>
          </w:p>
        </w:tc>
        <w:tc>
          <w:tcPr>
            <w:tcW w:w="2036" w:type="dxa"/>
          </w:tcPr>
          <w:p w14:paraId="0679F22D" w14:textId="46D1D591" w:rsidR="001F118D" w:rsidRPr="00344BC7" w:rsidRDefault="001F118D" w:rsidP="001F118D">
            <w:pPr>
              <w:jc w:val="right"/>
              <w:rPr>
                <w:sz w:val="20"/>
                <w:szCs w:val="20"/>
                <w:u w:val="single"/>
              </w:rPr>
            </w:pPr>
            <w:r w:rsidRPr="00344BC7">
              <w:rPr>
                <w:sz w:val="20"/>
                <w:szCs w:val="20"/>
              </w:rPr>
              <w:t>107.281,88</w:t>
            </w:r>
          </w:p>
        </w:tc>
        <w:tc>
          <w:tcPr>
            <w:tcW w:w="2186" w:type="dxa"/>
          </w:tcPr>
          <w:p w14:paraId="0F4C5801" w14:textId="0A6446B6" w:rsidR="001F118D" w:rsidRPr="00344BC7" w:rsidRDefault="001F118D" w:rsidP="001F118D">
            <w:pPr>
              <w:jc w:val="right"/>
              <w:rPr>
                <w:sz w:val="20"/>
                <w:szCs w:val="20"/>
                <w:u w:val="single"/>
              </w:rPr>
            </w:pPr>
            <w:r w:rsidRPr="00344BC7">
              <w:rPr>
                <w:sz w:val="20"/>
                <w:szCs w:val="20"/>
              </w:rPr>
              <w:t>108.085,84</w:t>
            </w:r>
          </w:p>
        </w:tc>
        <w:tc>
          <w:tcPr>
            <w:tcW w:w="1440" w:type="dxa"/>
          </w:tcPr>
          <w:p w14:paraId="7ED8E5EB" w14:textId="54976667" w:rsidR="001F118D" w:rsidRPr="00344BC7" w:rsidRDefault="001F118D" w:rsidP="001F118D">
            <w:pPr>
              <w:jc w:val="right"/>
              <w:rPr>
                <w:sz w:val="20"/>
                <w:szCs w:val="20"/>
                <w:u w:val="single"/>
              </w:rPr>
            </w:pPr>
            <w:r w:rsidRPr="00344BC7">
              <w:rPr>
                <w:sz w:val="20"/>
                <w:szCs w:val="20"/>
              </w:rPr>
              <w:t>100,7</w:t>
            </w:r>
          </w:p>
        </w:tc>
      </w:tr>
      <w:tr w:rsidR="001F118D" w:rsidRPr="00344BC7" w14:paraId="792C0E5F" w14:textId="77777777" w:rsidTr="009D7E63">
        <w:tc>
          <w:tcPr>
            <w:tcW w:w="4192" w:type="dxa"/>
          </w:tcPr>
          <w:p w14:paraId="351CE488" w14:textId="77777777" w:rsidR="001F118D" w:rsidRPr="00344BC7" w:rsidRDefault="001F118D" w:rsidP="001F118D">
            <w:pPr>
              <w:rPr>
                <w:sz w:val="20"/>
                <w:szCs w:val="20"/>
              </w:rPr>
            </w:pPr>
            <w:r w:rsidRPr="00344BC7">
              <w:rPr>
                <w:sz w:val="20"/>
                <w:szCs w:val="20"/>
              </w:rPr>
              <w:t>Ostali rashodi za zaposlene</w:t>
            </w:r>
          </w:p>
        </w:tc>
        <w:tc>
          <w:tcPr>
            <w:tcW w:w="2036" w:type="dxa"/>
          </w:tcPr>
          <w:p w14:paraId="307802E2" w14:textId="48B5FEE3" w:rsidR="001F118D" w:rsidRPr="00344BC7" w:rsidRDefault="001F118D" w:rsidP="001F118D">
            <w:pPr>
              <w:jc w:val="right"/>
              <w:rPr>
                <w:sz w:val="20"/>
                <w:szCs w:val="20"/>
                <w:u w:val="single"/>
              </w:rPr>
            </w:pPr>
            <w:r w:rsidRPr="00344BC7">
              <w:rPr>
                <w:sz w:val="20"/>
                <w:szCs w:val="20"/>
              </w:rPr>
              <w:t>2.899,76</w:t>
            </w:r>
          </w:p>
        </w:tc>
        <w:tc>
          <w:tcPr>
            <w:tcW w:w="2186" w:type="dxa"/>
          </w:tcPr>
          <w:p w14:paraId="07136AE7" w14:textId="63754D6A" w:rsidR="001F118D" w:rsidRPr="00344BC7" w:rsidRDefault="001F118D" w:rsidP="001F118D">
            <w:pPr>
              <w:jc w:val="right"/>
              <w:rPr>
                <w:sz w:val="20"/>
                <w:szCs w:val="20"/>
                <w:u w:val="single"/>
              </w:rPr>
            </w:pPr>
            <w:r w:rsidRPr="00344BC7">
              <w:rPr>
                <w:sz w:val="20"/>
                <w:szCs w:val="20"/>
              </w:rPr>
              <w:t>5.905,29</w:t>
            </w:r>
          </w:p>
        </w:tc>
        <w:tc>
          <w:tcPr>
            <w:tcW w:w="1440" w:type="dxa"/>
          </w:tcPr>
          <w:p w14:paraId="0EF8C862" w14:textId="5EE02C6C" w:rsidR="001F118D" w:rsidRPr="00344BC7" w:rsidRDefault="001F118D" w:rsidP="001F118D">
            <w:pPr>
              <w:jc w:val="right"/>
              <w:rPr>
                <w:sz w:val="20"/>
                <w:szCs w:val="20"/>
                <w:u w:val="single"/>
              </w:rPr>
            </w:pPr>
            <w:r w:rsidRPr="00344BC7">
              <w:rPr>
                <w:sz w:val="20"/>
                <w:szCs w:val="20"/>
              </w:rPr>
              <w:t>203,6</w:t>
            </w:r>
          </w:p>
        </w:tc>
      </w:tr>
      <w:tr w:rsidR="001F118D" w:rsidRPr="00344BC7" w14:paraId="770906CE" w14:textId="77777777" w:rsidTr="009D7E63">
        <w:tc>
          <w:tcPr>
            <w:tcW w:w="4192" w:type="dxa"/>
          </w:tcPr>
          <w:p w14:paraId="2A304A40" w14:textId="77777777" w:rsidR="001F118D" w:rsidRPr="00344BC7" w:rsidRDefault="001F118D" w:rsidP="001F118D">
            <w:pPr>
              <w:rPr>
                <w:sz w:val="20"/>
                <w:szCs w:val="20"/>
              </w:rPr>
            </w:pPr>
            <w:r w:rsidRPr="00344BC7">
              <w:rPr>
                <w:sz w:val="20"/>
                <w:szCs w:val="20"/>
              </w:rPr>
              <w:t>Doprinosi na plaće</w:t>
            </w:r>
          </w:p>
        </w:tc>
        <w:tc>
          <w:tcPr>
            <w:tcW w:w="2036" w:type="dxa"/>
          </w:tcPr>
          <w:p w14:paraId="199D36EB" w14:textId="5545135D" w:rsidR="001F118D" w:rsidRPr="00344BC7" w:rsidRDefault="001F118D" w:rsidP="001F118D">
            <w:pPr>
              <w:jc w:val="right"/>
              <w:rPr>
                <w:sz w:val="20"/>
                <w:szCs w:val="20"/>
                <w:u w:val="single"/>
              </w:rPr>
            </w:pPr>
            <w:r w:rsidRPr="00344BC7">
              <w:rPr>
                <w:sz w:val="20"/>
                <w:szCs w:val="20"/>
              </w:rPr>
              <w:t>17.701,53</w:t>
            </w:r>
          </w:p>
        </w:tc>
        <w:tc>
          <w:tcPr>
            <w:tcW w:w="2186" w:type="dxa"/>
          </w:tcPr>
          <w:p w14:paraId="3F509BA7" w14:textId="1045D5C7" w:rsidR="001F118D" w:rsidRPr="00344BC7" w:rsidRDefault="001F118D" w:rsidP="001F118D">
            <w:pPr>
              <w:jc w:val="right"/>
              <w:rPr>
                <w:sz w:val="20"/>
                <w:szCs w:val="20"/>
                <w:u w:val="single"/>
              </w:rPr>
            </w:pPr>
            <w:r w:rsidRPr="00344BC7">
              <w:rPr>
                <w:sz w:val="20"/>
                <w:szCs w:val="20"/>
              </w:rPr>
              <w:t>17.834,18</w:t>
            </w:r>
          </w:p>
        </w:tc>
        <w:tc>
          <w:tcPr>
            <w:tcW w:w="1440" w:type="dxa"/>
          </w:tcPr>
          <w:p w14:paraId="12703E0C" w14:textId="0BC5CA58" w:rsidR="001F118D" w:rsidRPr="00344BC7" w:rsidRDefault="001F118D" w:rsidP="001F118D">
            <w:pPr>
              <w:jc w:val="right"/>
              <w:rPr>
                <w:sz w:val="20"/>
                <w:szCs w:val="20"/>
                <w:u w:val="single"/>
              </w:rPr>
            </w:pPr>
            <w:r w:rsidRPr="00344BC7">
              <w:rPr>
                <w:sz w:val="20"/>
                <w:szCs w:val="20"/>
              </w:rPr>
              <w:t>100,7</w:t>
            </w:r>
          </w:p>
        </w:tc>
      </w:tr>
      <w:tr w:rsidR="001F118D" w:rsidRPr="00344BC7" w14:paraId="2EF13A1C" w14:textId="77777777" w:rsidTr="009D7E63">
        <w:tc>
          <w:tcPr>
            <w:tcW w:w="4192" w:type="dxa"/>
          </w:tcPr>
          <w:p w14:paraId="305712BC" w14:textId="77777777" w:rsidR="001F118D" w:rsidRPr="00344BC7" w:rsidRDefault="001F118D" w:rsidP="001F118D">
            <w:pPr>
              <w:rPr>
                <w:b/>
                <w:bCs/>
                <w:i/>
                <w:iCs/>
                <w:sz w:val="20"/>
                <w:szCs w:val="20"/>
              </w:rPr>
            </w:pPr>
            <w:r w:rsidRPr="00344BC7">
              <w:rPr>
                <w:b/>
                <w:bCs/>
                <w:i/>
                <w:iCs/>
                <w:sz w:val="20"/>
                <w:szCs w:val="20"/>
              </w:rPr>
              <w:t>RASHODI ZA ZAPOSLENE</w:t>
            </w:r>
          </w:p>
        </w:tc>
        <w:tc>
          <w:tcPr>
            <w:tcW w:w="2036" w:type="dxa"/>
          </w:tcPr>
          <w:p w14:paraId="1776808E" w14:textId="76C66646" w:rsidR="001F118D" w:rsidRPr="00344BC7" w:rsidRDefault="001F118D" w:rsidP="001F118D">
            <w:pPr>
              <w:jc w:val="right"/>
              <w:rPr>
                <w:b/>
                <w:bCs/>
                <w:sz w:val="20"/>
                <w:szCs w:val="20"/>
                <w:u w:val="single"/>
              </w:rPr>
            </w:pPr>
            <w:r w:rsidRPr="00344BC7">
              <w:rPr>
                <w:b/>
                <w:bCs/>
                <w:sz w:val="20"/>
                <w:szCs w:val="20"/>
              </w:rPr>
              <w:t>127.883,17</w:t>
            </w:r>
          </w:p>
        </w:tc>
        <w:tc>
          <w:tcPr>
            <w:tcW w:w="2186" w:type="dxa"/>
          </w:tcPr>
          <w:p w14:paraId="382E7B4A" w14:textId="4067449B" w:rsidR="001F118D" w:rsidRPr="00344BC7" w:rsidRDefault="001F118D" w:rsidP="001F118D">
            <w:pPr>
              <w:jc w:val="right"/>
              <w:rPr>
                <w:b/>
                <w:bCs/>
                <w:sz w:val="20"/>
                <w:szCs w:val="20"/>
                <w:u w:val="single"/>
              </w:rPr>
            </w:pPr>
            <w:r w:rsidRPr="00344BC7">
              <w:rPr>
                <w:b/>
                <w:bCs/>
                <w:sz w:val="20"/>
                <w:szCs w:val="20"/>
              </w:rPr>
              <w:t>131.825,31</w:t>
            </w:r>
          </w:p>
        </w:tc>
        <w:tc>
          <w:tcPr>
            <w:tcW w:w="1440" w:type="dxa"/>
          </w:tcPr>
          <w:p w14:paraId="6A3C8618" w14:textId="59DBE917" w:rsidR="001F118D" w:rsidRPr="00344BC7" w:rsidRDefault="001F118D" w:rsidP="001F118D">
            <w:pPr>
              <w:jc w:val="right"/>
              <w:rPr>
                <w:b/>
                <w:bCs/>
                <w:sz w:val="20"/>
                <w:szCs w:val="20"/>
                <w:u w:val="single"/>
              </w:rPr>
            </w:pPr>
            <w:r w:rsidRPr="00344BC7">
              <w:rPr>
                <w:b/>
                <w:bCs/>
                <w:sz w:val="20"/>
                <w:szCs w:val="20"/>
              </w:rPr>
              <w:t>103,1</w:t>
            </w:r>
          </w:p>
        </w:tc>
      </w:tr>
      <w:tr w:rsidR="00D40BCD" w:rsidRPr="00344BC7" w14:paraId="23761045" w14:textId="77777777" w:rsidTr="009D7E63">
        <w:tc>
          <w:tcPr>
            <w:tcW w:w="4192" w:type="dxa"/>
          </w:tcPr>
          <w:p w14:paraId="774F1385" w14:textId="77777777" w:rsidR="00D40BCD" w:rsidRPr="00344BC7" w:rsidRDefault="00D40BCD" w:rsidP="00D40BCD">
            <w:pPr>
              <w:rPr>
                <w:sz w:val="20"/>
                <w:szCs w:val="20"/>
              </w:rPr>
            </w:pPr>
            <w:r w:rsidRPr="00344BC7">
              <w:rPr>
                <w:sz w:val="20"/>
                <w:szCs w:val="20"/>
              </w:rPr>
              <w:t>Naknada troškova zaposlenima</w:t>
            </w:r>
          </w:p>
        </w:tc>
        <w:tc>
          <w:tcPr>
            <w:tcW w:w="2036" w:type="dxa"/>
          </w:tcPr>
          <w:p w14:paraId="2FACBCDE" w14:textId="3595EE7C" w:rsidR="00D40BCD" w:rsidRPr="00344BC7" w:rsidRDefault="00D40BCD" w:rsidP="00D40BCD">
            <w:pPr>
              <w:jc w:val="right"/>
              <w:rPr>
                <w:sz w:val="20"/>
                <w:szCs w:val="20"/>
                <w:u w:val="single"/>
              </w:rPr>
            </w:pPr>
            <w:r w:rsidRPr="00344BC7">
              <w:rPr>
                <w:sz w:val="20"/>
                <w:szCs w:val="20"/>
              </w:rPr>
              <w:t>3.524,80</w:t>
            </w:r>
          </w:p>
        </w:tc>
        <w:tc>
          <w:tcPr>
            <w:tcW w:w="2186" w:type="dxa"/>
          </w:tcPr>
          <w:p w14:paraId="10D66BB1" w14:textId="71427957" w:rsidR="00D40BCD" w:rsidRPr="00344BC7" w:rsidRDefault="00D40BCD" w:rsidP="00D40BCD">
            <w:pPr>
              <w:jc w:val="right"/>
              <w:rPr>
                <w:sz w:val="20"/>
                <w:szCs w:val="20"/>
                <w:u w:val="single"/>
              </w:rPr>
            </w:pPr>
            <w:r w:rsidRPr="00344BC7">
              <w:rPr>
                <w:sz w:val="20"/>
                <w:szCs w:val="20"/>
              </w:rPr>
              <w:t>3.608,91</w:t>
            </w:r>
          </w:p>
        </w:tc>
        <w:tc>
          <w:tcPr>
            <w:tcW w:w="1440" w:type="dxa"/>
          </w:tcPr>
          <w:p w14:paraId="0CEE0D04" w14:textId="13DFB207" w:rsidR="00D40BCD" w:rsidRPr="00344BC7" w:rsidRDefault="00D40BCD" w:rsidP="00D40BCD">
            <w:pPr>
              <w:jc w:val="right"/>
              <w:rPr>
                <w:sz w:val="20"/>
                <w:szCs w:val="20"/>
                <w:u w:val="single"/>
              </w:rPr>
            </w:pPr>
            <w:r w:rsidRPr="00344BC7">
              <w:rPr>
                <w:sz w:val="20"/>
                <w:szCs w:val="20"/>
              </w:rPr>
              <w:t>102,4</w:t>
            </w:r>
          </w:p>
        </w:tc>
      </w:tr>
      <w:tr w:rsidR="00D40BCD" w:rsidRPr="00344BC7" w14:paraId="5ADE4B6E" w14:textId="77777777" w:rsidTr="009D7E63">
        <w:tc>
          <w:tcPr>
            <w:tcW w:w="4192" w:type="dxa"/>
          </w:tcPr>
          <w:p w14:paraId="035AFB4A" w14:textId="77777777" w:rsidR="00D40BCD" w:rsidRPr="00344BC7" w:rsidRDefault="00D40BCD" w:rsidP="00D40BCD">
            <w:pPr>
              <w:rPr>
                <w:sz w:val="20"/>
                <w:szCs w:val="20"/>
              </w:rPr>
            </w:pPr>
            <w:r w:rsidRPr="00344BC7">
              <w:rPr>
                <w:sz w:val="20"/>
                <w:szCs w:val="20"/>
              </w:rPr>
              <w:t>Rashodi za materijal i energiju</w:t>
            </w:r>
          </w:p>
        </w:tc>
        <w:tc>
          <w:tcPr>
            <w:tcW w:w="2036" w:type="dxa"/>
          </w:tcPr>
          <w:p w14:paraId="5466FFA7" w14:textId="10178187" w:rsidR="00D40BCD" w:rsidRPr="00344BC7" w:rsidRDefault="00D40BCD" w:rsidP="00D40BCD">
            <w:pPr>
              <w:jc w:val="right"/>
              <w:rPr>
                <w:sz w:val="20"/>
                <w:szCs w:val="20"/>
                <w:u w:val="single"/>
              </w:rPr>
            </w:pPr>
            <w:r w:rsidRPr="00344BC7">
              <w:rPr>
                <w:sz w:val="20"/>
                <w:szCs w:val="20"/>
              </w:rPr>
              <w:t>10.488,58</w:t>
            </w:r>
          </w:p>
        </w:tc>
        <w:tc>
          <w:tcPr>
            <w:tcW w:w="2186" w:type="dxa"/>
          </w:tcPr>
          <w:p w14:paraId="0E6A853C" w14:textId="16C8CBB9" w:rsidR="00D40BCD" w:rsidRPr="00344BC7" w:rsidRDefault="00D40BCD" w:rsidP="00D40BCD">
            <w:pPr>
              <w:jc w:val="right"/>
              <w:rPr>
                <w:sz w:val="20"/>
                <w:szCs w:val="20"/>
                <w:u w:val="single"/>
              </w:rPr>
            </w:pPr>
            <w:r w:rsidRPr="00344BC7">
              <w:rPr>
                <w:sz w:val="20"/>
                <w:szCs w:val="20"/>
              </w:rPr>
              <w:t>10.024,17</w:t>
            </w:r>
          </w:p>
        </w:tc>
        <w:tc>
          <w:tcPr>
            <w:tcW w:w="1440" w:type="dxa"/>
          </w:tcPr>
          <w:p w14:paraId="278600ED" w14:textId="0F4DAB49" w:rsidR="00D40BCD" w:rsidRPr="00344BC7" w:rsidRDefault="00D40BCD" w:rsidP="00D40BCD">
            <w:pPr>
              <w:jc w:val="right"/>
              <w:rPr>
                <w:sz w:val="20"/>
                <w:szCs w:val="20"/>
                <w:u w:val="single"/>
              </w:rPr>
            </w:pPr>
            <w:r w:rsidRPr="00344BC7">
              <w:rPr>
                <w:sz w:val="20"/>
                <w:szCs w:val="20"/>
              </w:rPr>
              <w:t>95,6</w:t>
            </w:r>
          </w:p>
        </w:tc>
      </w:tr>
      <w:tr w:rsidR="009B75FC" w:rsidRPr="00344BC7" w14:paraId="38AA9E4D" w14:textId="77777777" w:rsidTr="009D7E63">
        <w:tc>
          <w:tcPr>
            <w:tcW w:w="4192" w:type="dxa"/>
          </w:tcPr>
          <w:p w14:paraId="1D0091CE" w14:textId="77777777" w:rsidR="009B75FC" w:rsidRPr="00344BC7" w:rsidRDefault="009B75FC" w:rsidP="009B75FC">
            <w:pPr>
              <w:rPr>
                <w:sz w:val="20"/>
                <w:szCs w:val="20"/>
              </w:rPr>
            </w:pPr>
            <w:r w:rsidRPr="00344BC7">
              <w:rPr>
                <w:sz w:val="20"/>
                <w:szCs w:val="20"/>
              </w:rPr>
              <w:t>Rashodi za usluge</w:t>
            </w:r>
          </w:p>
        </w:tc>
        <w:tc>
          <w:tcPr>
            <w:tcW w:w="2036" w:type="dxa"/>
          </w:tcPr>
          <w:p w14:paraId="39E65351" w14:textId="1984BD1D" w:rsidR="009B75FC" w:rsidRPr="00344BC7" w:rsidRDefault="009B75FC" w:rsidP="009B75FC">
            <w:pPr>
              <w:jc w:val="right"/>
              <w:rPr>
                <w:sz w:val="20"/>
                <w:szCs w:val="20"/>
                <w:u w:val="single"/>
              </w:rPr>
            </w:pPr>
            <w:r w:rsidRPr="00344BC7">
              <w:rPr>
                <w:sz w:val="20"/>
                <w:szCs w:val="20"/>
              </w:rPr>
              <w:t>42.160,86</w:t>
            </w:r>
          </w:p>
        </w:tc>
        <w:tc>
          <w:tcPr>
            <w:tcW w:w="2186" w:type="dxa"/>
          </w:tcPr>
          <w:p w14:paraId="54172F34" w14:textId="04468013" w:rsidR="009B75FC" w:rsidRPr="00344BC7" w:rsidRDefault="009B75FC" w:rsidP="009B75FC">
            <w:pPr>
              <w:jc w:val="right"/>
              <w:rPr>
                <w:sz w:val="20"/>
                <w:szCs w:val="20"/>
                <w:u w:val="single"/>
              </w:rPr>
            </w:pPr>
            <w:r w:rsidRPr="00344BC7">
              <w:rPr>
                <w:sz w:val="20"/>
                <w:szCs w:val="20"/>
              </w:rPr>
              <w:t>54.455,23</w:t>
            </w:r>
          </w:p>
        </w:tc>
        <w:tc>
          <w:tcPr>
            <w:tcW w:w="1440" w:type="dxa"/>
          </w:tcPr>
          <w:p w14:paraId="187AC37F" w14:textId="27E4E595" w:rsidR="009B75FC" w:rsidRPr="00344BC7" w:rsidRDefault="009B75FC" w:rsidP="009B75FC">
            <w:pPr>
              <w:jc w:val="right"/>
              <w:rPr>
                <w:sz w:val="20"/>
                <w:szCs w:val="20"/>
                <w:u w:val="single"/>
              </w:rPr>
            </w:pPr>
            <w:r w:rsidRPr="00344BC7">
              <w:rPr>
                <w:sz w:val="20"/>
                <w:szCs w:val="20"/>
              </w:rPr>
              <w:t>129,2</w:t>
            </w:r>
          </w:p>
        </w:tc>
      </w:tr>
      <w:tr w:rsidR="00BC1A24" w:rsidRPr="00344BC7" w14:paraId="38F7C1C2" w14:textId="77777777" w:rsidTr="009D7E63">
        <w:tc>
          <w:tcPr>
            <w:tcW w:w="4192" w:type="dxa"/>
          </w:tcPr>
          <w:p w14:paraId="0487CE89" w14:textId="77777777" w:rsidR="00BC1A24" w:rsidRPr="00344BC7" w:rsidRDefault="00BC1A24" w:rsidP="00BC1A24">
            <w:pPr>
              <w:rPr>
                <w:sz w:val="20"/>
                <w:szCs w:val="20"/>
              </w:rPr>
            </w:pPr>
            <w:r w:rsidRPr="00344BC7">
              <w:rPr>
                <w:sz w:val="20"/>
                <w:szCs w:val="20"/>
              </w:rPr>
              <w:t>Ostali nespomenuti rashodi poslovanja</w:t>
            </w:r>
          </w:p>
        </w:tc>
        <w:tc>
          <w:tcPr>
            <w:tcW w:w="2036" w:type="dxa"/>
          </w:tcPr>
          <w:p w14:paraId="690B1A16" w14:textId="3F208E32" w:rsidR="00BC1A24" w:rsidRPr="00344BC7" w:rsidRDefault="00BC1A24" w:rsidP="00BC1A24">
            <w:pPr>
              <w:jc w:val="right"/>
              <w:rPr>
                <w:sz w:val="20"/>
                <w:szCs w:val="20"/>
                <w:u w:val="single"/>
              </w:rPr>
            </w:pPr>
            <w:r w:rsidRPr="00344BC7">
              <w:rPr>
                <w:sz w:val="20"/>
                <w:szCs w:val="20"/>
              </w:rPr>
              <w:t>6.980,94</w:t>
            </w:r>
          </w:p>
        </w:tc>
        <w:tc>
          <w:tcPr>
            <w:tcW w:w="2186" w:type="dxa"/>
          </w:tcPr>
          <w:p w14:paraId="69F4A04C" w14:textId="002BC1F5" w:rsidR="00BC1A24" w:rsidRPr="00344BC7" w:rsidRDefault="00BC1A24" w:rsidP="00BC1A24">
            <w:pPr>
              <w:jc w:val="right"/>
              <w:rPr>
                <w:sz w:val="20"/>
                <w:szCs w:val="20"/>
                <w:u w:val="single"/>
              </w:rPr>
            </w:pPr>
            <w:r w:rsidRPr="00344BC7">
              <w:rPr>
                <w:sz w:val="20"/>
                <w:szCs w:val="20"/>
              </w:rPr>
              <w:t>5.108,08</w:t>
            </w:r>
          </w:p>
        </w:tc>
        <w:tc>
          <w:tcPr>
            <w:tcW w:w="1440" w:type="dxa"/>
          </w:tcPr>
          <w:p w14:paraId="68B6696F" w14:textId="3DF46A65" w:rsidR="00BC1A24" w:rsidRPr="00344BC7" w:rsidRDefault="00BC1A24" w:rsidP="00BC1A24">
            <w:pPr>
              <w:jc w:val="right"/>
              <w:rPr>
                <w:sz w:val="20"/>
                <w:szCs w:val="20"/>
                <w:u w:val="single"/>
              </w:rPr>
            </w:pPr>
            <w:r w:rsidRPr="00344BC7">
              <w:rPr>
                <w:sz w:val="20"/>
                <w:szCs w:val="20"/>
              </w:rPr>
              <w:t>73,2</w:t>
            </w:r>
          </w:p>
        </w:tc>
      </w:tr>
      <w:tr w:rsidR="00BC1A24" w:rsidRPr="00344BC7" w14:paraId="2F46B131" w14:textId="77777777" w:rsidTr="009D7E63">
        <w:trPr>
          <w:trHeight w:val="404"/>
        </w:trPr>
        <w:tc>
          <w:tcPr>
            <w:tcW w:w="4192" w:type="dxa"/>
          </w:tcPr>
          <w:p w14:paraId="13D101AD" w14:textId="77777777" w:rsidR="00BC1A24" w:rsidRPr="00344BC7" w:rsidRDefault="00BC1A24" w:rsidP="00BC1A24">
            <w:pPr>
              <w:rPr>
                <w:b/>
                <w:bCs/>
                <w:i/>
                <w:iCs/>
                <w:sz w:val="20"/>
                <w:szCs w:val="20"/>
              </w:rPr>
            </w:pPr>
            <w:r w:rsidRPr="00344BC7">
              <w:rPr>
                <w:b/>
                <w:bCs/>
                <w:i/>
                <w:iCs/>
                <w:sz w:val="20"/>
                <w:szCs w:val="20"/>
              </w:rPr>
              <w:t>MATERIJALNI  RASHODI</w:t>
            </w:r>
          </w:p>
        </w:tc>
        <w:tc>
          <w:tcPr>
            <w:tcW w:w="2036" w:type="dxa"/>
          </w:tcPr>
          <w:p w14:paraId="543A074A" w14:textId="5EAA9CF8" w:rsidR="00BC1A24" w:rsidRPr="00AB209D" w:rsidRDefault="00BC1A24" w:rsidP="00BC1A24">
            <w:pPr>
              <w:jc w:val="right"/>
              <w:rPr>
                <w:b/>
                <w:sz w:val="20"/>
                <w:szCs w:val="20"/>
                <w:u w:val="single"/>
              </w:rPr>
            </w:pPr>
            <w:r w:rsidRPr="00AB209D">
              <w:rPr>
                <w:b/>
                <w:sz w:val="20"/>
                <w:szCs w:val="20"/>
              </w:rPr>
              <w:t>63.518,89</w:t>
            </w:r>
          </w:p>
        </w:tc>
        <w:tc>
          <w:tcPr>
            <w:tcW w:w="2186" w:type="dxa"/>
          </w:tcPr>
          <w:p w14:paraId="513679A0" w14:textId="1A07664B" w:rsidR="00BC1A24" w:rsidRPr="00AB209D" w:rsidRDefault="00BC1A24" w:rsidP="00BC1A24">
            <w:pPr>
              <w:jc w:val="right"/>
              <w:rPr>
                <w:b/>
                <w:sz w:val="20"/>
                <w:szCs w:val="20"/>
                <w:u w:val="single"/>
              </w:rPr>
            </w:pPr>
            <w:r w:rsidRPr="00AB209D">
              <w:rPr>
                <w:b/>
                <w:sz w:val="20"/>
                <w:szCs w:val="20"/>
              </w:rPr>
              <w:t>73.907,40</w:t>
            </w:r>
          </w:p>
        </w:tc>
        <w:tc>
          <w:tcPr>
            <w:tcW w:w="1440" w:type="dxa"/>
          </w:tcPr>
          <w:p w14:paraId="31E4BD80" w14:textId="0512BD48" w:rsidR="00BC1A24" w:rsidRPr="00AB209D" w:rsidRDefault="00BC1A24" w:rsidP="00BC1A24">
            <w:pPr>
              <w:jc w:val="right"/>
              <w:rPr>
                <w:b/>
                <w:sz w:val="20"/>
                <w:szCs w:val="20"/>
                <w:u w:val="single"/>
              </w:rPr>
            </w:pPr>
            <w:r w:rsidRPr="00AB209D">
              <w:rPr>
                <w:b/>
                <w:sz w:val="20"/>
                <w:szCs w:val="20"/>
              </w:rPr>
              <w:t>116,4</w:t>
            </w:r>
          </w:p>
        </w:tc>
      </w:tr>
      <w:tr w:rsidR="00BC1A24" w:rsidRPr="00344BC7" w14:paraId="1B5F80BD" w14:textId="77777777" w:rsidTr="009D7E63">
        <w:trPr>
          <w:trHeight w:val="404"/>
        </w:trPr>
        <w:tc>
          <w:tcPr>
            <w:tcW w:w="4192" w:type="dxa"/>
          </w:tcPr>
          <w:p w14:paraId="46086889" w14:textId="77777777" w:rsidR="00BC1A24" w:rsidRPr="00344BC7" w:rsidRDefault="00BC1A24" w:rsidP="00BC1A24">
            <w:pPr>
              <w:rPr>
                <w:sz w:val="20"/>
                <w:szCs w:val="20"/>
              </w:rPr>
            </w:pPr>
            <w:r w:rsidRPr="00344BC7">
              <w:rPr>
                <w:sz w:val="20"/>
                <w:szCs w:val="20"/>
              </w:rPr>
              <w:t>Bankarske usluge i usluge platnog prometa</w:t>
            </w:r>
          </w:p>
        </w:tc>
        <w:tc>
          <w:tcPr>
            <w:tcW w:w="2036" w:type="dxa"/>
          </w:tcPr>
          <w:p w14:paraId="4B9F3167" w14:textId="22EF7A9E" w:rsidR="00BC1A24" w:rsidRPr="00344BC7" w:rsidRDefault="00BC1A24" w:rsidP="00BC1A24">
            <w:pPr>
              <w:jc w:val="right"/>
              <w:rPr>
                <w:sz w:val="20"/>
                <w:szCs w:val="20"/>
                <w:u w:val="single"/>
              </w:rPr>
            </w:pPr>
            <w:r w:rsidRPr="00344BC7">
              <w:rPr>
                <w:sz w:val="20"/>
                <w:szCs w:val="20"/>
              </w:rPr>
              <w:t>480,05</w:t>
            </w:r>
          </w:p>
        </w:tc>
        <w:tc>
          <w:tcPr>
            <w:tcW w:w="2186" w:type="dxa"/>
          </w:tcPr>
          <w:p w14:paraId="353709E5" w14:textId="210872AB" w:rsidR="00BC1A24" w:rsidRPr="00344BC7" w:rsidRDefault="00BC1A24" w:rsidP="00BC1A24">
            <w:pPr>
              <w:jc w:val="right"/>
              <w:rPr>
                <w:sz w:val="20"/>
                <w:szCs w:val="20"/>
                <w:u w:val="single"/>
              </w:rPr>
            </w:pPr>
            <w:r w:rsidRPr="00344BC7">
              <w:rPr>
                <w:sz w:val="20"/>
                <w:szCs w:val="20"/>
              </w:rPr>
              <w:t>473,05</w:t>
            </w:r>
          </w:p>
        </w:tc>
        <w:tc>
          <w:tcPr>
            <w:tcW w:w="1440" w:type="dxa"/>
          </w:tcPr>
          <w:p w14:paraId="1B8368FD" w14:textId="629AA356" w:rsidR="00BC1A24" w:rsidRPr="00344BC7" w:rsidRDefault="00BC1A24" w:rsidP="00BC1A24">
            <w:pPr>
              <w:jc w:val="right"/>
              <w:rPr>
                <w:sz w:val="20"/>
                <w:szCs w:val="20"/>
                <w:u w:val="single"/>
              </w:rPr>
            </w:pPr>
            <w:r w:rsidRPr="00344BC7">
              <w:rPr>
                <w:sz w:val="20"/>
                <w:szCs w:val="20"/>
              </w:rPr>
              <w:t>98,5</w:t>
            </w:r>
          </w:p>
        </w:tc>
      </w:tr>
      <w:tr w:rsidR="00BC1A24" w:rsidRPr="00344BC7" w14:paraId="0938EA83" w14:textId="77777777" w:rsidTr="009D7E63">
        <w:trPr>
          <w:trHeight w:val="404"/>
        </w:trPr>
        <w:tc>
          <w:tcPr>
            <w:tcW w:w="4192" w:type="dxa"/>
          </w:tcPr>
          <w:p w14:paraId="39DA896F" w14:textId="77777777" w:rsidR="00BC1A24" w:rsidRPr="00344BC7" w:rsidRDefault="00BC1A24" w:rsidP="00BC1A24">
            <w:pPr>
              <w:rPr>
                <w:b/>
                <w:bCs/>
                <w:i/>
                <w:iCs/>
                <w:sz w:val="20"/>
                <w:szCs w:val="20"/>
              </w:rPr>
            </w:pPr>
            <w:r w:rsidRPr="00344BC7">
              <w:rPr>
                <w:b/>
                <w:bCs/>
                <w:i/>
                <w:iCs/>
                <w:sz w:val="20"/>
                <w:szCs w:val="20"/>
              </w:rPr>
              <w:t>FINANCIJSKI RASHODI</w:t>
            </w:r>
          </w:p>
        </w:tc>
        <w:tc>
          <w:tcPr>
            <w:tcW w:w="2036" w:type="dxa"/>
          </w:tcPr>
          <w:p w14:paraId="0FD738B3" w14:textId="7D6E5F4A" w:rsidR="00BC1A24" w:rsidRPr="00AB209D" w:rsidRDefault="00BC1A24" w:rsidP="00BC1A24">
            <w:pPr>
              <w:jc w:val="right"/>
              <w:rPr>
                <w:b/>
                <w:sz w:val="20"/>
                <w:szCs w:val="20"/>
                <w:u w:val="single"/>
              </w:rPr>
            </w:pPr>
            <w:r w:rsidRPr="00AB209D">
              <w:rPr>
                <w:b/>
                <w:sz w:val="20"/>
                <w:szCs w:val="20"/>
              </w:rPr>
              <w:t>480,05</w:t>
            </w:r>
          </w:p>
        </w:tc>
        <w:tc>
          <w:tcPr>
            <w:tcW w:w="2186" w:type="dxa"/>
          </w:tcPr>
          <w:p w14:paraId="4EA6E88B" w14:textId="5FDAC62B" w:rsidR="00BC1A24" w:rsidRPr="00AB209D" w:rsidRDefault="00BC1A24" w:rsidP="00BC1A24">
            <w:pPr>
              <w:jc w:val="right"/>
              <w:rPr>
                <w:b/>
                <w:sz w:val="20"/>
                <w:szCs w:val="20"/>
                <w:u w:val="single"/>
              </w:rPr>
            </w:pPr>
            <w:r w:rsidRPr="00AB209D">
              <w:rPr>
                <w:b/>
                <w:sz w:val="20"/>
                <w:szCs w:val="20"/>
              </w:rPr>
              <w:t>473,05</w:t>
            </w:r>
          </w:p>
        </w:tc>
        <w:tc>
          <w:tcPr>
            <w:tcW w:w="1440" w:type="dxa"/>
          </w:tcPr>
          <w:p w14:paraId="7433FB34" w14:textId="507B06ED" w:rsidR="00BC1A24" w:rsidRPr="00AB209D" w:rsidRDefault="00BC1A24" w:rsidP="00BC1A24">
            <w:pPr>
              <w:jc w:val="right"/>
              <w:rPr>
                <w:b/>
                <w:sz w:val="20"/>
                <w:szCs w:val="20"/>
                <w:u w:val="single"/>
              </w:rPr>
            </w:pPr>
            <w:r w:rsidRPr="00AB209D">
              <w:rPr>
                <w:b/>
                <w:sz w:val="20"/>
                <w:szCs w:val="20"/>
              </w:rPr>
              <w:t>98,5</w:t>
            </w:r>
          </w:p>
        </w:tc>
      </w:tr>
      <w:tr w:rsidR="00BC1A24" w:rsidRPr="00344BC7" w14:paraId="069F980E" w14:textId="77777777" w:rsidTr="009D7E63">
        <w:tc>
          <w:tcPr>
            <w:tcW w:w="4192" w:type="dxa"/>
          </w:tcPr>
          <w:p w14:paraId="6789575D" w14:textId="77777777" w:rsidR="00BC1A24" w:rsidRPr="00344BC7" w:rsidRDefault="00BC1A24" w:rsidP="00BC1A24">
            <w:pPr>
              <w:rPr>
                <w:b/>
                <w:bCs/>
                <w:i/>
                <w:iCs/>
                <w:sz w:val="20"/>
                <w:szCs w:val="20"/>
              </w:rPr>
            </w:pPr>
            <w:r w:rsidRPr="00344BC7">
              <w:rPr>
                <w:b/>
                <w:bCs/>
                <w:i/>
                <w:iCs/>
                <w:sz w:val="20"/>
                <w:szCs w:val="20"/>
              </w:rPr>
              <w:t>UKUPNO OSTVARENI  RASHODI POSLOVANJA:</w:t>
            </w:r>
          </w:p>
        </w:tc>
        <w:tc>
          <w:tcPr>
            <w:tcW w:w="2036" w:type="dxa"/>
          </w:tcPr>
          <w:p w14:paraId="1AE97855" w14:textId="2E781D58" w:rsidR="00BC1A24" w:rsidRPr="00AB209D" w:rsidRDefault="00BC1A24" w:rsidP="00BC1A24">
            <w:pPr>
              <w:jc w:val="right"/>
              <w:rPr>
                <w:b/>
                <w:sz w:val="20"/>
                <w:szCs w:val="20"/>
                <w:u w:val="single"/>
              </w:rPr>
            </w:pPr>
            <w:r w:rsidRPr="00AB209D">
              <w:rPr>
                <w:b/>
                <w:sz w:val="20"/>
                <w:szCs w:val="20"/>
              </w:rPr>
              <w:t>191.882,11</w:t>
            </w:r>
          </w:p>
        </w:tc>
        <w:tc>
          <w:tcPr>
            <w:tcW w:w="2186" w:type="dxa"/>
          </w:tcPr>
          <w:p w14:paraId="09BA1DCA" w14:textId="1C3EF16D" w:rsidR="00BC1A24" w:rsidRPr="00AB209D" w:rsidRDefault="00BC1A24" w:rsidP="00BC1A24">
            <w:pPr>
              <w:jc w:val="right"/>
              <w:rPr>
                <w:b/>
                <w:sz w:val="20"/>
                <w:szCs w:val="20"/>
                <w:u w:val="single"/>
              </w:rPr>
            </w:pPr>
            <w:r w:rsidRPr="00AB209D">
              <w:rPr>
                <w:b/>
                <w:sz w:val="20"/>
                <w:szCs w:val="20"/>
              </w:rPr>
              <w:t>206.205,76</w:t>
            </w:r>
          </w:p>
        </w:tc>
        <w:tc>
          <w:tcPr>
            <w:tcW w:w="1440" w:type="dxa"/>
          </w:tcPr>
          <w:p w14:paraId="441577BE" w14:textId="3C88B7B1" w:rsidR="00BC1A24" w:rsidRPr="00AB209D" w:rsidRDefault="00BC1A24" w:rsidP="00BC1A24">
            <w:pPr>
              <w:jc w:val="right"/>
              <w:rPr>
                <w:b/>
                <w:sz w:val="20"/>
                <w:szCs w:val="20"/>
                <w:u w:val="single"/>
              </w:rPr>
            </w:pPr>
            <w:r w:rsidRPr="00AB209D">
              <w:rPr>
                <w:b/>
                <w:sz w:val="20"/>
                <w:szCs w:val="20"/>
              </w:rPr>
              <w:t>107,5</w:t>
            </w:r>
          </w:p>
        </w:tc>
      </w:tr>
      <w:tr w:rsidR="00BC1A24" w:rsidRPr="00344BC7" w14:paraId="2ACA21E1" w14:textId="77777777" w:rsidTr="009D7E63">
        <w:tc>
          <w:tcPr>
            <w:tcW w:w="4192" w:type="dxa"/>
          </w:tcPr>
          <w:p w14:paraId="3399175F" w14:textId="77777777" w:rsidR="00BC1A24" w:rsidRPr="00344BC7" w:rsidRDefault="00BC1A24" w:rsidP="00BC1A24">
            <w:pPr>
              <w:rPr>
                <w:sz w:val="20"/>
                <w:szCs w:val="20"/>
              </w:rPr>
            </w:pPr>
            <w:r w:rsidRPr="00344BC7">
              <w:rPr>
                <w:sz w:val="20"/>
                <w:szCs w:val="20"/>
              </w:rPr>
              <w:t xml:space="preserve">Postrojenja i oprema </w:t>
            </w:r>
          </w:p>
        </w:tc>
        <w:tc>
          <w:tcPr>
            <w:tcW w:w="2036" w:type="dxa"/>
          </w:tcPr>
          <w:p w14:paraId="13225987" w14:textId="3777101F" w:rsidR="00BC1A24" w:rsidRPr="00344BC7" w:rsidRDefault="00BC1A24" w:rsidP="00BC1A24">
            <w:pPr>
              <w:jc w:val="right"/>
              <w:rPr>
                <w:sz w:val="20"/>
                <w:szCs w:val="20"/>
                <w:u w:val="single"/>
              </w:rPr>
            </w:pPr>
            <w:r w:rsidRPr="00344BC7">
              <w:rPr>
                <w:sz w:val="20"/>
                <w:szCs w:val="20"/>
              </w:rPr>
              <w:t>1.790,13</w:t>
            </w:r>
          </w:p>
        </w:tc>
        <w:tc>
          <w:tcPr>
            <w:tcW w:w="2186" w:type="dxa"/>
          </w:tcPr>
          <w:p w14:paraId="27D1447F" w14:textId="6D240385" w:rsidR="00BC1A24" w:rsidRPr="00344BC7" w:rsidRDefault="00BC1A24" w:rsidP="00BC1A24">
            <w:pPr>
              <w:jc w:val="right"/>
              <w:rPr>
                <w:sz w:val="20"/>
                <w:szCs w:val="20"/>
                <w:u w:val="single"/>
              </w:rPr>
            </w:pPr>
            <w:r w:rsidRPr="00344BC7">
              <w:rPr>
                <w:sz w:val="20"/>
                <w:szCs w:val="20"/>
              </w:rPr>
              <w:t>3.041,72</w:t>
            </w:r>
          </w:p>
        </w:tc>
        <w:tc>
          <w:tcPr>
            <w:tcW w:w="1440" w:type="dxa"/>
          </w:tcPr>
          <w:p w14:paraId="223D754F" w14:textId="5B19F165" w:rsidR="00BC1A24" w:rsidRPr="00344BC7" w:rsidRDefault="00BC1A24" w:rsidP="00BC1A24">
            <w:pPr>
              <w:jc w:val="right"/>
              <w:rPr>
                <w:sz w:val="20"/>
                <w:szCs w:val="20"/>
                <w:u w:val="single"/>
              </w:rPr>
            </w:pPr>
            <w:r w:rsidRPr="00344BC7">
              <w:rPr>
                <w:sz w:val="20"/>
                <w:szCs w:val="20"/>
              </w:rPr>
              <w:t>169,9</w:t>
            </w:r>
          </w:p>
        </w:tc>
      </w:tr>
      <w:tr w:rsidR="009E1579" w:rsidRPr="00344BC7" w14:paraId="113C8A52" w14:textId="77777777" w:rsidTr="009D7E63">
        <w:trPr>
          <w:trHeight w:val="437"/>
        </w:trPr>
        <w:tc>
          <w:tcPr>
            <w:tcW w:w="4192" w:type="dxa"/>
            <w:vAlign w:val="center"/>
          </w:tcPr>
          <w:p w14:paraId="278287D6" w14:textId="77777777" w:rsidR="009E1579" w:rsidRPr="00344BC7" w:rsidRDefault="009E1579" w:rsidP="009E1579">
            <w:pPr>
              <w:rPr>
                <w:sz w:val="20"/>
                <w:szCs w:val="20"/>
              </w:rPr>
            </w:pPr>
            <w:r w:rsidRPr="00344BC7">
              <w:rPr>
                <w:sz w:val="20"/>
                <w:szCs w:val="20"/>
              </w:rPr>
              <w:t>Ostale nespomenute izložbene vrijednosti</w:t>
            </w:r>
          </w:p>
        </w:tc>
        <w:tc>
          <w:tcPr>
            <w:tcW w:w="2036" w:type="dxa"/>
          </w:tcPr>
          <w:p w14:paraId="55A1E113" w14:textId="177556A8" w:rsidR="009E1579" w:rsidRPr="00344BC7" w:rsidRDefault="009E1579" w:rsidP="009E1579">
            <w:pPr>
              <w:jc w:val="right"/>
              <w:rPr>
                <w:sz w:val="20"/>
                <w:szCs w:val="20"/>
                <w:u w:val="single"/>
              </w:rPr>
            </w:pPr>
            <w:r w:rsidRPr="00344BC7">
              <w:rPr>
                <w:sz w:val="20"/>
                <w:szCs w:val="20"/>
              </w:rPr>
              <w:t>603,89</w:t>
            </w:r>
          </w:p>
        </w:tc>
        <w:tc>
          <w:tcPr>
            <w:tcW w:w="2186" w:type="dxa"/>
          </w:tcPr>
          <w:p w14:paraId="3E4488EB" w14:textId="4DA448AE" w:rsidR="009E1579" w:rsidRPr="00344BC7" w:rsidRDefault="009E1579" w:rsidP="009E1579">
            <w:pPr>
              <w:jc w:val="right"/>
              <w:rPr>
                <w:sz w:val="20"/>
                <w:szCs w:val="20"/>
                <w:u w:val="single"/>
              </w:rPr>
            </w:pPr>
            <w:r w:rsidRPr="00344BC7">
              <w:rPr>
                <w:sz w:val="20"/>
                <w:szCs w:val="20"/>
              </w:rPr>
              <w:t>0,00</w:t>
            </w:r>
          </w:p>
        </w:tc>
        <w:tc>
          <w:tcPr>
            <w:tcW w:w="1440" w:type="dxa"/>
          </w:tcPr>
          <w:p w14:paraId="6645723D" w14:textId="39682429" w:rsidR="009E1579" w:rsidRPr="00344BC7" w:rsidRDefault="009E1579" w:rsidP="009E1579">
            <w:pPr>
              <w:jc w:val="right"/>
              <w:rPr>
                <w:sz w:val="20"/>
                <w:szCs w:val="20"/>
                <w:u w:val="single"/>
              </w:rPr>
            </w:pPr>
            <w:r w:rsidRPr="00344BC7">
              <w:rPr>
                <w:sz w:val="20"/>
                <w:szCs w:val="20"/>
              </w:rPr>
              <w:t>0,</w:t>
            </w:r>
            <w:proofErr w:type="spellStart"/>
            <w:r w:rsidRPr="00344BC7">
              <w:rPr>
                <w:sz w:val="20"/>
                <w:szCs w:val="20"/>
              </w:rPr>
              <w:t>0</w:t>
            </w:r>
            <w:proofErr w:type="spellEnd"/>
          </w:p>
        </w:tc>
      </w:tr>
      <w:tr w:rsidR="009E1579" w:rsidRPr="00344BC7" w14:paraId="659BF03A" w14:textId="77777777" w:rsidTr="009D7E63">
        <w:tc>
          <w:tcPr>
            <w:tcW w:w="4192" w:type="dxa"/>
          </w:tcPr>
          <w:p w14:paraId="5A931E70" w14:textId="77777777" w:rsidR="009E1579" w:rsidRPr="00344BC7" w:rsidRDefault="009E1579" w:rsidP="009E1579">
            <w:pPr>
              <w:rPr>
                <w:b/>
                <w:bCs/>
                <w:i/>
                <w:iCs/>
                <w:sz w:val="20"/>
                <w:szCs w:val="20"/>
              </w:rPr>
            </w:pPr>
            <w:r w:rsidRPr="00344BC7">
              <w:rPr>
                <w:b/>
                <w:bCs/>
                <w:i/>
                <w:iCs/>
                <w:sz w:val="20"/>
                <w:szCs w:val="20"/>
              </w:rPr>
              <w:t>RASHODI  ZA  NABAVU NEFINANCIJSKE  IMOVINE</w:t>
            </w:r>
          </w:p>
        </w:tc>
        <w:tc>
          <w:tcPr>
            <w:tcW w:w="2036" w:type="dxa"/>
          </w:tcPr>
          <w:p w14:paraId="5903A6CC" w14:textId="042CDFEC" w:rsidR="009E1579" w:rsidRPr="00AB209D" w:rsidRDefault="009E1579" w:rsidP="009E1579">
            <w:pPr>
              <w:jc w:val="right"/>
              <w:rPr>
                <w:b/>
                <w:sz w:val="20"/>
                <w:szCs w:val="20"/>
                <w:u w:val="single"/>
              </w:rPr>
            </w:pPr>
            <w:r w:rsidRPr="00AB209D">
              <w:rPr>
                <w:b/>
                <w:sz w:val="20"/>
                <w:szCs w:val="20"/>
              </w:rPr>
              <w:t>2.394,02</w:t>
            </w:r>
          </w:p>
        </w:tc>
        <w:tc>
          <w:tcPr>
            <w:tcW w:w="2186" w:type="dxa"/>
          </w:tcPr>
          <w:p w14:paraId="7C22C077" w14:textId="692573CF" w:rsidR="009E1579" w:rsidRPr="00AB209D" w:rsidRDefault="009E1579" w:rsidP="009E1579">
            <w:pPr>
              <w:jc w:val="right"/>
              <w:rPr>
                <w:b/>
                <w:sz w:val="20"/>
                <w:szCs w:val="20"/>
                <w:u w:val="single"/>
              </w:rPr>
            </w:pPr>
            <w:r w:rsidRPr="00AB209D">
              <w:rPr>
                <w:b/>
                <w:sz w:val="20"/>
                <w:szCs w:val="20"/>
              </w:rPr>
              <w:t>3.041,72</w:t>
            </w:r>
          </w:p>
        </w:tc>
        <w:tc>
          <w:tcPr>
            <w:tcW w:w="1440" w:type="dxa"/>
          </w:tcPr>
          <w:p w14:paraId="5C3E85B2" w14:textId="0326889B" w:rsidR="009E1579" w:rsidRPr="00AB209D" w:rsidRDefault="009E1579" w:rsidP="009E1579">
            <w:pPr>
              <w:jc w:val="right"/>
              <w:rPr>
                <w:b/>
                <w:sz w:val="20"/>
                <w:szCs w:val="20"/>
                <w:u w:val="single"/>
              </w:rPr>
            </w:pPr>
            <w:r w:rsidRPr="00AB209D">
              <w:rPr>
                <w:b/>
                <w:sz w:val="20"/>
                <w:szCs w:val="20"/>
              </w:rPr>
              <w:t>127,1</w:t>
            </w:r>
          </w:p>
        </w:tc>
      </w:tr>
      <w:tr w:rsidR="009E1579" w:rsidRPr="00344BC7" w14:paraId="6F6572A1" w14:textId="77777777" w:rsidTr="009D7E63">
        <w:trPr>
          <w:trHeight w:val="497"/>
        </w:trPr>
        <w:tc>
          <w:tcPr>
            <w:tcW w:w="4192" w:type="dxa"/>
            <w:vAlign w:val="center"/>
          </w:tcPr>
          <w:p w14:paraId="2A5BD6DC" w14:textId="77777777" w:rsidR="009E1579" w:rsidRPr="00344BC7" w:rsidRDefault="009E1579" w:rsidP="009E1579">
            <w:pPr>
              <w:pStyle w:val="Naslov5"/>
              <w:rPr>
                <w:rFonts w:ascii="Times New Roman" w:hAnsi="Times New Roman" w:cs="Times New Roman"/>
                <w:sz w:val="20"/>
                <w:szCs w:val="20"/>
              </w:rPr>
            </w:pPr>
            <w:r w:rsidRPr="00344BC7">
              <w:rPr>
                <w:rFonts w:ascii="Times New Roman" w:hAnsi="Times New Roman" w:cs="Times New Roman"/>
                <w:sz w:val="20"/>
                <w:szCs w:val="20"/>
              </w:rPr>
              <w:t>UKUPNI RASHODI</w:t>
            </w:r>
          </w:p>
        </w:tc>
        <w:tc>
          <w:tcPr>
            <w:tcW w:w="2036" w:type="dxa"/>
          </w:tcPr>
          <w:p w14:paraId="204E7E15" w14:textId="229F16C4" w:rsidR="009E1579" w:rsidRPr="00AB209D" w:rsidRDefault="009E1579" w:rsidP="009E1579">
            <w:pPr>
              <w:jc w:val="right"/>
              <w:rPr>
                <w:b/>
                <w:sz w:val="20"/>
                <w:szCs w:val="20"/>
                <w:u w:val="single"/>
              </w:rPr>
            </w:pPr>
            <w:r w:rsidRPr="00AB209D">
              <w:rPr>
                <w:b/>
                <w:sz w:val="20"/>
                <w:szCs w:val="20"/>
              </w:rPr>
              <w:t>194.276,13</w:t>
            </w:r>
          </w:p>
        </w:tc>
        <w:tc>
          <w:tcPr>
            <w:tcW w:w="2186" w:type="dxa"/>
          </w:tcPr>
          <w:p w14:paraId="7E479C07" w14:textId="46D6D723" w:rsidR="009E1579" w:rsidRPr="00AB209D" w:rsidRDefault="009E1579" w:rsidP="009E1579">
            <w:pPr>
              <w:jc w:val="right"/>
              <w:rPr>
                <w:b/>
                <w:sz w:val="20"/>
                <w:szCs w:val="20"/>
                <w:u w:val="single"/>
              </w:rPr>
            </w:pPr>
            <w:r w:rsidRPr="00AB209D">
              <w:rPr>
                <w:b/>
                <w:sz w:val="20"/>
                <w:szCs w:val="20"/>
              </w:rPr>
              <w:t>209.247,48</w:t>
            </w:r>
          </w:p>
        </w:tc>
        <w:tc>
          <w:tcPr>
            <w:tcW w:w="1440" w:type="dxa"/>
          </w:tcPr>
          <w:p w14:paraId="1C39C5C9" w14:textId="464C8DA3" w:rsidR="009E1579" w:rsidRPr="00AB209D" w:rsidRDefault="009E1579" w:rsidP="009E1579">
            <w:pPr>
              <w:jc w:val="right"/>
              <w:rPr>
                <w:b/>
                <w:sz w:val="20"/>
                <w:szCs w:val="20"/>
                <w:u w:val="single"/>
              </w:rPr>
            </w:pPr>
            <w:r w:rsidRPr="00AB209D">
              <w:rPr>
                <w:b/>
                <w:sz w:val="20"/>
                <w:szCs w:val="20"/>
              </w:rPr>
              <w:t>107,7</w:t>
            </w:r>
          </w:p>
        </w:tc>
      </w:tr>
    </w:tbl>
    <w:p w14:paraId="21EB76B0" w14:textId="77777777" w:rsidR="006F042B" w:rsidRPr="00344BC7" w:rsidRDefault="006F042B" w:rsidP="006F042B">
      <w:pPr>
        <w:pStyle w:val="Tijeloteksta"/>
        <w:rPr>
          <w:rFonts w:ascii="Times New Roman" w:hAnsi="Times New Roman" w:cs="Times New Roman"/>
          <w:sz w:val="20"/>
          <w:szCs w:val="20"/>
        </w:rPr>
      </w:pPr>
    </w:p>
    <w:p w14:paraId="6134FC80" w14:textId="77777777" w:rsidR="006F042B" w:rsidRPr="00344BC7" w:rsidRDefault="006F042B" w:rsidP="006F042B">
      <w:pPr>
        <w:pStyle w:val="Tijeloteksta"/>
        <w:rPr>
          <w:rFonts w:ascii="Times New Roman" w:hAnsi="Times New Roman" w:cs="Times New Roman"/>
          <w:sz w:val="20"/>
          <w:szCs w:val="20"/>
        </w:rPr>
      </w:pPr>
    </w:p>
    <w:p w14:paraId="48C7AE0A" w14:textId="1D31C28C" w:rsidR="00DB5497" w:rsidRPr="00344BC7" w:rsidRDefault="001F118D" w:rsidP="00DB5497">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O</w:t>
      </w:r>
      <w:r w:rsidR="00DB5497" w:rsidRPr="00344BC7">
        <w:rPr>
          <w:rFonts w:ascii="Times New Roman" w:hAnsi="Times New Roman" w:cs="Times New Roman"/>
          <w:sz w:val="20"/>
          <w:szCs w:val="20"/>
        </w:rPr>
        <w:t>stali rashodi s</w:t>
      </w:r>
      <w:r w:rsidRPr="00344BC7">
        <w:rPr>
          <w:rFonts w:ascii="Times New Roman" w:hAnsi="Times New Roman" w:cs="Times New Roman"/>
          <w:sz w:val="20"/>
          <w:szCs w:val="20"/>
        </w:rPr>
        <w:t>u veći radi neredovitih prava koje su djelatnici ostvarili tokom 2023. (potpore i radni rezultati).</w:t>
      </w:r>
    </w:p>
    <w:p w14:paraId="104D96E9" w14:textId="4EA8F31A" w:rsidR="00D40BCD" w:rsidRPr="00344BC7" w:rsidRDefault="006F042B" w:rsidP="006F042B">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 xml:space="preserve">Naknade troškova zaposlenima su </w:t>
      </w:r>
      <w:r w:rsidR="00D40BCD" w:rsidRPr="00344BC7">
        <w:rPr>
          <w:rFonts w:ascii="Times New Roman" w:hAnsi="Times New Roman" w:cs="Times New Roman"/>
          <w:sz w:val="20"/>
          <w:szCs w:val="20"/>
        </w:rPr>
        <w:t xml:space="preserve">sveukupno skoro isti ali razlika postoji kod manjih troškova službenih putovanja naspram prošle godine (indeks 55,3) dok su troškovi stručnog usavršavanja veći radi stjecanja zvana kustosa jednog </w:t>
      </w:r>
      <w:r w:rsidR="00257A2E" w:rsidRPr="00344BC7">
        <w:rPr>
          <w:rFonts w:ascii="Times New Roman" w:hAnsi="Times New Roman" w:cs="Times New Roman"/>
          <w:sz w:val="20"/>
          <w:szCs w:val="20"/>
        </w:rPr>
        <w:t>djelatnika</w:t>
      </w:r>
      <w:r w:rsidR="00D40BCD" w:rsidRPr="00344BC7">
        <w:rPr>
          <w:rFonts w:ascii="Times New Roman" w:hAnsi="Times New Roman" w:cs="Times New Roman"/>
          <w:sz w:val="20"/>
          <w:szCs w:val="20"/>
        </w:rPr>
        <w:t>.</w:t>
      </w:r>
    </w:p>
    <w:p w14:paraId="734D20AD" w14:textId="5891FAC5" w:rsidR="006F042B" w:rsidRPr="00344BC7" w:rsidRDefault="006F042B" w:rsidP="006F042B">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 xml:space="preserve">Rashod za materijal i energiju </w:t>
      </w:r>
      <w:r w:rsidR="00D40BCD" w:rsidRPr="00344BC7">
        <w:rPr>
          <w:rFonts w:ascii="Times New Roman" w:hAnsi="Times New Roman" w:cs="Times New Roman"/>
          <w:sz w:val="20"/>
          <w:szCs w:val="20"/>
        </w:rPr>
        <w:t xml:space="preserve">su malo manji ali razlika u potrošnji po pojedinim stavkama postoje. Tako primjerice su uredski i ostali materijalni troškovi veći (indeks 129,7) radi svih projekata muzeja, troškovi energije su manji (indeks 70,2) zbog stabilizacije cijena energenata i manje se potrošilo na materijal i dijelove za održavanje (indeks 84,8), ali sitnog </w:t>
      </w:r>
      <w:proofErr w:type="spellStart"/>
      <w:r w:rsidR="00D40BCD" w:rsidRPr="00344BC7">
        <w:rPr>
          <w:rFonts w:ascii="Times New Roman" w:hAnsi="Times New Roman" w:cs="Times New Roman"/>
          <w:sz w:val="20"/>
          <w:szCs w:val="20"/>
        </w:rPr>
        <w:t>invetara</w:t>
      </w:r>
      <w:proofErr w:type="spellEnd"/>
      <w:r w:rsidR="00D40BCD" w:rsidRPr="00344BC7">
        <w:rPr>
          <w:rFonts w:ascii="Times New Roman" w:hAnsi="Times New Roman" w:cs="Times New Roman"/>
          <w:sz w:val="20"/>
          <w:szCs w:val="20"/>
        </w:rPr>
        <w:t xml:space="preserve"> se više nabavilo (indeks 182,8) naspram prošle godine uz napomenu da se nakon što je proveden drugi rebalans poslije 30.09.2023. , nabavljeni štafelaji su </w:t>
      </w:r>
      <w:proofErr w:type="spellStart"/>
      <w:r w:rsidR="00D40BCD" w:rsidRPr="00344BC7">
        <w:rPr>
          <w:rFonts w:ascii="Times New Roman" w:hAnsi="Times New Roman" w:cs="Times New Roman"/>
          <w:sz w:val="20"/>
          <w:szCs w:val="20"/>
        </w:rPr>
        <w:t>preknjiženi</w:t>
      </w:r>
      <w:proofErr w:type="spellEnd"/>
      <w:r w:rsidR="00D40BCD" w:rsidRPr="00344BC7">
        <w:rPr>
          <w:rFonts w:ascii="Times New Roman" w:hAnsi="Times New Roman" w:cs="Times New Roman"/>
          <w:sz w:val="20"/>
          <w:szCs w:val="20"/>
        </w:rPr>
        <w:t xml:space="preserve"> sa uredski materijal, na sitni inventar.</w:t>
      </w:r>
    </w:p>
    <w:p w14:paraId="70EB8ED8" w14:textId="631F17F2" w:rsidR="004100B5" w:rsidRPr="00344BC7" w:rsidRDefault="006F042B" w:rsidP="004100B5">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 xml:space="preserve">Troškovi usluga su </w:t>
      </w:r>
      <w:r w:rsidR="009B75FC" w:rsidRPr="00344BC7">
        <w:rPr>
          <w:rFonts w:ascii="Times New Roman" w:hAnsi="Times New Roman" w:cs="Times New Roman"/>
          <w:sz w:val="20"/>
          <w:szCs w:val="20"/>
        </w:rPr>
        <w:t>veći prije svega radi sanacije štete od nevremena (</w:t>
      </w:r>
      <w:proofErr w:type="spellStart"/>
      <w:r w:rsidR="009B75FC" w:rsidRPr="00344BC7">
        <w:rPr>
          <w:rFonts w:ascii="Times New Roman" w:hAnsi="Times New Roman" w:cs="Times New Roman"/>
          <w:sz w:val="20"/>
          <w:szCs w:val="20"/>
        </w:rPr>
        <w:t>index</w:t>
      </w:r>
      <w:proofErr w:type="spellEnd"/>
      <w:r w:rsidR="009B75FC" w:rsidRPr="00344BC7">
        <w:rPr>
          <w:rFonts w:ascii="Times New Roman" w:hAnsi="Times New Roman" w:cs="Times New Roman"/>
          <w:sz w:val="20"/>
          <w:szCs w:val="20"/>
        </w:rPr>
        <w:t xml:space="preserve"> 232,0) dok se za promidžbu nije toliko utrošilo sredstava (</w:t>
      </w:r>
      <w:proofErr w:type="spellStart"/>
      <w:r w:rsidR="009B75FC" w:rsidRPr="00344BC7">
        <w:rPr>
          <w:rFonts w:ascii="Times New Roman" w:hAnsi="Times New Roman" w:cs="Times New Roman"/>
          <w:sz w:val="20"/>
          <w:szCs w:val="20"/>
        </w:rPr>
        <w:t>index</w:t>
      </w:r>
      <w:proofErr w:type="spellEnd"/>
      <w:r w:rsidR="009B75FC" w:rsidRPr="00344BC7">
        <w:rPr>
          <w:rFonts w:ascii="Times New Roman" w:hAnsi="Times New Roman" w:cs="Times New Roman"/>
          <w:sz w:val="20"/>
          <w:szCs w:val="20"/>
        </w:rPr>
        <w:t xml:space="preserve"> 13,6), a komunalne usluge su veće (</w:t>
      </w:r>
      <w:proofErr w:type="spellStart"/>
      <w:r w:rsidR="009B75FC" w:rsidRPr="00344BC7">
        <w:rPr>
          <w:rFonts w:ascii="Times New Roman" w:hAnsi="Times New Roman" w:cs="Times New Roman"/>
          <w:sz w:val="20"/>
          <w:szCs w:val="20"/>
        </w:rPr>
        <w:t>index</w:t>
      </w:r>
      <w:proofErr w:type="spellEnd"/>
      <w:r w:rsidR="009B75FC" w:rsidRPr="00344BC7">
        <w:rPr>
          <w:rFonts w:ascii="Times New Roman" w:hAnsi="Times New Roman" w:cs="Times New Roman"/>
          <w:sz w:val="20"/>
          <w:szCs w:val="20"/>
        </w:rPr>
        <w:t xml:space="preserve"> 181,2) radi napuknute cijevi koja, do sanacije, je prouzročila veću potrošnju vode. Intelektualne usluge  su porasle (indeks 169,0) radi događaja koje je organizirao muzej, kao primjerice znanstveni skup koji se održao pod pokroviteljstvom muzeja. Ostale usluge su već</w:t>
      </w:r>
      <w:r w:rsidR="00BC1A24" w:rsidRPr="00344BC7">
        <w:rPr>
          <w:rFonts w:ascii="Times New Roman" w:hAnsi="Times New Roman" w:cs="Times New Roman"/>
          <w:sz w:val="20"/>
          <w:szCs w:val="20"/>
        </w:rPr>
        <w:t>e (indeks 113,3) radi izdavačke djelatnosti muzeja za koju su odobrena sredstva od ministarstva, županije i nadležnog proračuna. Naknade osobama izvan radnog odnosa su veće radi dolaska stručnjaka radi pomoći vanjskih suradnika za djelatnosti muzeja.</w:t>
      </w:r>
    </w:p>
    <w:p w14:paraId="49B1AF82" w14:textId="059E9E60" w:rsidR="00BC1A24" w:rsidRPr="00344BC7" w:rsidRDefault="00BC1A24" w:rsidP="004100B5">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Ostali nespomenuti rashodi su manji jer određeni događaji su bili izložbe, ali uspjela se odraditi povoljnija nabava radi ugošćavanja posjetitelja (reprezentacija indeks 78,1) i bilo je manje ostalih troškova poslovanja (indeks 36,7).</w:t>
      </w:r>
    </w:p>
    <w:p w14:paraId="17D3FA5E" w14:textId="3EFC7CBE" w:rsidR="006F042B" w:rsidRPr="00344BC7" w:rsidRDefault="00C86A36" w:rsidP="006F042B">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T</w:t>
      </w:r>
      <w:r w:rsidR="006F042B" w:rsidRPr="00344BC7">
        <w:rPr>
          <w:rFonts w:ascii="Times New Roman" w:hAnsi="Times New Roman" w:cs="Times New Roman"/>
          <w:sz w:val="20"/>
          <w:szCs w:val="20"/>
        </w:rPr>
        <w:t>roškovi opreme</w:t>
      </w:r>
      <w:r w:rsidRPr="00344BC7">
        <w:rPr>
          <w:rFonts w:ascii="Times New Roman" w:hAnsi="Times New Roman" w:cs="Times New Roman"/>
          <w:sz w:val="20"/>
          <w:szCs w:val="20"/>
        </w:rPr>
        <w:t xml:space="preserve"> su </w:t>
      </w:r>
      <w:r w:rsidR="009E1579" w:rsidRPr="00344BC7">
        <w:rPr>
          <w:rFonts w:ascii="Times New Roman" w:hAnsi="Times New Roman" w:cs="Times New Roman"/>
          <w:sz w:val="20"/>
          <w:szCs w:val="20"/>
        </w:rPr>
        <w:t xml:space="preserve">veći jer se išlo u </w:t>
      </w:r>
      <w:proofErr w:type="spellStart"/>
      <w:r w:rsidR="009E1579" w:rsidRPr="00344BC7">
        <w:rPr>
          <w:rFonts w:ascii="Times New Roman" w:hAnsi="Times New Roman" w:cs="Times New Roman"/>
          <w:sz w:val="20"/>
          <w:szCs w:val="20"/>
        </w:rPr>
        <w:t>daljnu</w:t>
      </w:r>
      <w:proofErr w:type="spellEnd"/>
      <w:r w:rsidR="009E1579" w:rsidRPr="00344BC7">
        <w:rPr>
          <w:rFonts w:ascii="Times New Roman" w:hAnsi="Times New Roman" w:cs="Times New Roman"/>
          <w:sz w:val="20"/>
          <w:szCs w:val="20"/>
        </w:rPr>
        <w:t xml:space="preserve"> obnovu informatičke opreme i još se nabavilo novog uredskog namještaja (</w:t>
      </w:r>
      <w:proofErr w:type="spellStart"/>
      <w:r w:rsidR="009E1579" w:rsidRPr="00344BC7">
        <w:rPr>
          <w:rFonts w:ascii="Times New Roman" w:hAnsi="Times New Roman" w:cs="Times New Roman"/>
          <w:sz w:val="20"/>
          <w:szCs w:val="20"/>
        </w:rPr>
        <w:t>index</w:t>
      </w:r>
      <w:proofErr w:type="spellEnd"/>
      <w:r w:rsidR="009E1579" w:rsidRPr="00344BC7">
        <w:rPr>
          <w:rFonts w:ascii="Times New Roman" w:hAnsi="Times New Roman" w:cs="Times New Roman"/>
          <w:sz w:val="20"/>
          <w:szCs w:val="20"/>
        </w:rPr>
        <w:t xml:space="preserve"> 169,9), ali nije bilo nabave izložbenih vrijednosti u 2023. godini.</w:t>
      </w:r>
    </w:p>
    <w:p w14:paraId="3A38B267" w14:textId="77777777" w:rsidR="005F597F" w:rsidRPr="00344BC7" w:rsidRDefault="005F597F" w:rsidP="006F042B">
      <w:pPr>
        <w:pStyle w:val="Tijeloteksta"/>
        <w:ind w:firstLine="708"/>
        <w:rPr>
          <w:rFonts w:ascii="Times New Roman" w:hAnsi="Times New Roman" w:cs="Times New Roman"/>
          <w:sz w:val="20"/>
          <w:szCs w:val="20"/>
        </w:rPr>
      </w:pPr>
    </w:p>
    <w:p w14:paraId="07299C44" w14:textId="77777777" w:rsidR="006F042B" w:rsidRPr="00344BC7" w:rsidRDefault="006F042B" w:rsidP="00344BC7">
      <w:pPr>
        <w:pStyle w:val="Tijeloteksta"/>
        <w:rPr>
          <w:rFonts w:ascii="Times New Roman" w:hAnsi="Times New Roman" w:cs="Times New Roman"/>
          <w:sz w:val="20"/>
          <w:szCs w:val="20"/>
        </w:rPr>
      </w:pPr>
    </w:p>
    <w:p w14:paraId="363CFBB0" w14:textId="47CB7ABC" w:rsidR="006F042B" w:rsidRPr="00344BC7" w:rsidRDefault="006F042B" w:rsidP="00344BC7">
      <w:pPr>
        <w:pStyle w:val="Naslov2"/>
        <w:rPr>
          <w:rFonts w:ascii="Times New Roman" w:hAnsi="Times New Roman" w:cs="Times New Roman"/>
          <w:sz w:val="20"/>
          <w:szCs w:val="20"/>
        </w:rPr>
      </w:pPr>
      <w:r w:rsidRPr="00344BC7">
        <w:rPr>
          <w:rFonts w:ascii="Times New Roman" w:hAnsi="Times New Roman" w:cs="Times New Roman"/>
          <w:sz w:val="20"/>
          <w:szCs w:val="20"/>
        </w:rPr>
        <w:t>BILJEŠKE</w:t>
      </w:r>
      <w:r w:rsidR="00344BC7">
        <w:rPr>
          <w:rFonts w:ascii="Times New Roman" w:hAnsi="Times New Roman" w:cs="Times New Roman"/>
          <w:sz w:val="20"/>
          <w:szCs w:val="20"/>
        </w:rPr>
        <w:t xml:space="preserve"> </w:t>
      </w:r>
      <w:r w:rsidRPr="00344BC7">
        <w:rPr>
          <w:rFonts w:ascii="Times New Roman" w:hAnsi="Times New Roman" w:cs="Times New Roman"/>
          <w:sz w:val="20"/>
          <w:szCs w:val="20"/>
        </w:rPr>
        <w:t>UZ IZVJEŠTAJ O RASHODIMA PREMA FUNKCIJSKOJ KLASIFIKACIJI</w:t>
      </w:r>
    </w:p>
    <w:p w14:paraId="2B38AA28" w14:textId="77777777" w:rsidR="006F042B" w:rsidRPr="00344BC7" w:rsidRDefault="006F042B" w:rsidP="00344BC7">
      <w:pPr>
        <w:pStyle w:val="Tijeloteksta"/>
        <w:rPr>
          <w:rFonts w:ascii="Times New Roman" w:hAnsi="Times New Roman" w:cs="Times New Roman"/>
          <w:sz w:val="20"/>
          <w:szCs w:val="20"/>
        </w:rPr>
      </w:pPr>
    </w:p>
    <w:p w14:paraId="37E48697" w14:textId="77777777" w:rsidR="006F042B" w:rsidRPr="00344BC7" w:rsidRDefault="006F042B" w:rsidP="006F042B">
      <w:pPr>
        <w:ind w:firstLine="708"/>
        <w:jc w:val="both"/>
        <w:rPr>
          <w:sz w:val="20"/>
          <w:szCs w:val="20"/>
        </w:rPr>
      </w:pPr>
      <w:r w:rsidRPr="00344BC7">
        <w:rPr>
          <w:sz w:val="20"/>
          <w:szCs w:val="20"/>
        </w:rPr>
        <w:t xml:space="preserve">Rashodi poslovanja  u razdoblju od </w:t>
      </w:r>
      <w:r w:rsidR="007731F4" w:rsidRPr="00344BC7">
        <w:rPr>
          <w:sz w:val="20"/>
          <w:szCs w:val="20"/>
        </w:rPr>
        <w:t xml:space="preserve">01.01.2023. do 31.12.2023. godine </w:t>
      </w:r>
      <w:r w:rsidRPr="00344BC7">
        <w:rPr>
          <w:sz w:val="20"/>
          <w:szCs w:val="20"/>
        </w:rPr>
        <w:t>ostvareni su u  slijedećim iznosima:</w:t>
      </w:r>
    </w:p>
    <w:p w14:paraId="550C2253" w14:textId="77777777" w:rsidR="006F042B" w:rsidRPr="00344BC7" w:rsidRDefault="006F042B" w:rsidP="006F042B">
      <w:pPr>
        <w:pStyle w:val="Tijeloteksta"/>
        <w:ind w:firstLine="708"/>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2406"/>
        <w:gridCol w:w="2350"/>
        <w:gridCol w:w="2233"/>
      </w:tblGrid>
      <w:tr w:rsidR="006F042B" w:rsidRPr="00344BC7" w14:paraId="588822BF" w14:textId="77777777" w:rsidTr="0018497C">
        <w:tc>
          <w:tcPr>
            <w:tcW w:w="2299" w:type="dxa"/>
            <w:shd w:val="clear" w:color="auto" w:fill="auto"/>
          </w:tcPr>
          <w:p w14:paraId="4D8DB154" w14:textId="77777777" w:rsidR="006F042B" w:rsidRPr="00344BC7" w:rsidRDefault="006F042B" w:rsidP="00192678">
            <w:pPr>
              <w:jc w:val="center"/>
              <w:rPr>
                <w:b/>
                <w:sz w:val="20"/>
                <w:szCs w:val="20"/>
              </w:rPr>
            </w:pPr>
            <w:r w:rsidRPr="00344BC7">
              <w:rPr>
                <w:b/>
                <w:sz w:val="20"/>
                <w:szCs w:val="20"/>
              </w:rPr>
              <w:lastRenderedPageBreak/>
              <w:t>VRSTA RASHODA</w:t>
            </w:r>
          </w:p>
        </w:tc>
        <w:tc>
          <w:tcPr>
            <w:tcW w:w="2406" w:type="dxa"/>
            <w:shd w:val="clear" w:color="auto" w:fill="auto"/>
          </w:tcPr>
          <w:p w14:paraId="4FD8C1ED" w14:textId="77777777" w:rsidR="006F042B" w:rsidRPr="00344BC7" w:rsidRDefault="006F042B" w:rsidP="00192678">
            <w:pPr>
              <w:jc w:val="center"/>
              <w:rPr>
                <w:b/>
                <w:sz w:val="20"/>
                <w:szCs w:val="20"/>
              </w:rPr>
            </w:pPr>
            <w:r w:rsidRPr="00344BC7">
              <w:rPr>
                <w:b/>
                <w:sz w:val="20"/>
                <w:szCs w:val="20"/>
              </w:rPr>
              <w:t>OSTVARENO U  IZVJEŠTAJNOM RAZDOBLJU  PRETHODNE GODINE</w:t>
            </w:r>
          </w:p>
        </w:tc>
        <w:tc>
          <w:tcPr>
            <w:tcW w:w="2350" w:type="dxa"/>
            <w:shd w:val="clear" w:color="auto" w:fill="auto"/>
          </w:tcPr>
          <w:p w14:paraId="499475D7" w14:textId="77777777" w:rsidR="006F042B" w:rsidRPr="00344BC7" w:rsidRDefault="006F042B" w:rsidP="00192678">
            <w:pPr>
              <w:jc w:val="center"/>
              <w:rPr>
                <w:b/>
                <w:sz w:val="20"/>
                <w:szCs w:val="20"/>
              </w:rPr>
            </w:pPr>
            <w:r w:rsidRPr="00344BC7">
              <w:rPr>
                <w:b/>
                <w:sz w:val="20"/>
                <w:szCs w:val="20"/>
              </w:rPr>
              <w:t>OSTVARENO U TEKUĆEM RAZDOBLJU</w:t>
            </w:r>
          </w:p>
        </w:tc>
        <w:tc>
          <w:tcPr>
            <w:tcW w:w="2233" w:type="dxa"/>
            <w:shd w:val="clear" w:color="auto" w:fill="auto"/>
          </w:tcPr>
          <w:p w14:paraId="5F79A3A7" w14:textId="77777777" w:rsidR="006F042B" w:rsidRPr="00344BC7" w:rsidRDefault="006F042B" w:rsidP="00192678">
            <w:pPr>
              <w:jc w:val="center"/>
              <w:rPr>
                <w:b/>
                <w:sz w:val="20"/>
                <w:szCs w:val="20"/>
              </w:rPr>
            </w:pPr>
            <w:r w:rsidRPr="00344BC7">
              <w:rPr>
                <w:b/>
                <w:sz w:val="20"/>
                <w:szCs w:val="20"/>
              </w:rPr>
              <w:t>INDEX</w:t>
            </w:r>
          </w:p>
        </w:tc>
      </w:tr>
      <w:tr w:rsidR="007731F4" w:rsidRPr="00344BC7" w14:paraId="1B2AE538" w14:textId="77777777" w:rsidTr="0018497C">
        <w:tc>
          <w:tcPr>
            <w:tcW w:w="2299" w:type="dxa"/>
            <w:shd w:val="clear" w:color="auto" w:fill="auto"/>
          </w:tcPr>
          <w:p w14:paraId="79A9D47F" w14:textId="77777777" w:rsidR="007731F4" w:rsidRPr="00344BC7" w:rsidRDefault="007731F4" w:rsidP="00192678">
            <w:pPr>
              <w:rPr>
                <w:sz w:val="20"/>
                <w:szCs w:val="20"/>
              </w:rPr>
            </w:pPr>
            <w:r w:rsidRPr="00344BC7">
              <w:rPr>
                <w:sz w:val="20"/>
                <w:szCs w:val="20"/>
              </w:rPr>
              <w:t>Službe kulture</w:t>
            </w:r>
          </w:p>
        </w:tc>
        <w:tc>
          <w:tcPr>
            <w:tcW w:w="2406" w:type="dxa"/>
            <w:shd w:val="clear" w:color="auto" w:fill="auto"/>
          </w:tcPr>
          <w:p w14:paraId="034A078C" w14:textId="77777777" w:rsidR="007731F4" w:rsidRPr="00344BC7" w:rsidRDefault="007731F4" w:rsidP="007731F4">
            <w:pPr>
              <w:jc w:val="right"/>
              <w:rPr>
                <w:sz w:val="20"/>
                <w:szCs w:val="20"/>
              </w:rPr>
            </w:pPr>
            <w:r w:rsidRPr="00344BC7">
              <w:rPr>
                <w:sz w:val="20"/>
                <w:szCs w:val="20"/>
              </w:rPr>
              <w:t>194.276,13</w:t>
            </w:r>
          </w:p>
        </w:tc>
        <w:tc>
          <w:tcPr>
            <w:tcW w:w="2350" w:type="dxa"/>
            <w:shd w:val="clear" w:color="auto" w:fill="auto"/>
          </w:tcPr>
          <w:p w14:paraId="4A103FA1" w14:textId="77777777" w:rsidR="007731F4" w:rsidRPr="00344BC7" w:rsidRDefault="007731F4" w:rsidP="007731F4">
            <w:pPr>
              <w:jc w:val="right"/>
              <w:rPr>
                <w:sz w:val="20"/>
                <w:szCs w:val="20"/>
              </w:rPr>
            </w:pPr>
            <w:r w:rsidRPr="00344BC7">
              <w:rPr>
                <w:sz w:val="20"/>
                <w:szCs w:val="20"/>
              </w:rPr>
              <w:t>209.247,48</w:t>
            </w:r>
          </w:p>
        </w:tc>
        <w:tc>
          <w:tcPr>
            <w:tcW w:w="2233" w:type="dxa"/>
            <w:shd w:val="clear" w:color="auto" w:fill="auto"/>
          </w:tcPr>
          <w:p w14:paraId="6C65DF0D" w14:textId="77777777" w:rsidR="007731F4" w:rsidRPr="00344BC7" w:rsidRDefault="007731F4" w:rsidP="007731F4">
            <w:pPr>
              <w:jc w:val="right"/>
              <w:rPr>
                <w:sz w:val="20"/>
                <w:szCs w:val="20"/>
              </w:rPr>
            </w:pPr>
            <w:r w:rsidRPr="00344BC7">
              <w:rPr>
                <w:sz w:val="20"/>
                <w:szCs w:val="20"/>
              </w:rPr>
              <w:t>107,7</w:t>
            </w:r>
          </w:p>
        </w:tc>
      </w:tr>
    </w:tbl>
    <w:p w14:paraId="57A8539C" w14:textId="77777777" w:rsidR="006F042B" w:rsidRPr="00344BC7" w:rsidRDefault="006F042B" w:rsidP="006F042B">
      <w:pPr>
        <w:ind w:firstLine="708"/>
        <w:jc w:val="both"/>
        <w:rPr>
          <w:sz w:val="20"/>
          <w:szCs w:val="20"/>
        </w:rPr>
      </w:pPr>
    </w:p>
    <w:p w14:paraId="6F9C5F56" w14:textId="77777777" w:rsidR="0059553D" w:rsidRPr="00344BC7" w:rsidRDefault="006F042B" w:rsidP="00FC5138">
      <w:pPr>
        <w:pStyle w:val="Tijeloteksta"/>
        <w:ind w:firstLine="708"/>
        <w:rPr>
          <w:rFonts w:ascii="Times New Roman" w:hAnsi="Times New Roman" w:cs="Times New Roman"/>
          <w:sz w:val="20"/>
          <w:szCs w:val="20"/>
        </w:rPr>
      </w:pPr>
      <w:r w:rsidRPr="00344BC7">
        <w:rPr>
          <w:rFonts w:ascii="Times New Roman" w:hAnsi="Times New Roman" w:cs="Times New Roman"/>
          <w:sz w:val="20"/>
          <w:szCs w:val="20"/>
        </w:rPr>
        <w:t>Ukupni rashodi su uloženi prema Izvještaju o rashodima prema funkcijskoj klasifikaciji na obrascu , RAS FUNKCIJSKI,  u kulturu – funkcija 082</w:t>
      </w:r>
    </w:p>
    <w:p w14:paraId="3D5DD4FA" w14:textId="77777777" w:rsidR="00952C7D" w:rsidRPr="00344BC7" w:rsidRDefault="00952C7D">
      <w:pPr>
        <w:rPr>
          <w:sz w:val="20"/>
          <w:szCs w:val="20"/>
        </w:rPr>
      </w:pPr>
    </w:p>
    <w:p w14:paraId="53C04526" w14:textId="77777777" w:rsidR="003A0105" w:rsidRPr="00344BC7" w:rsidRDefault="003A0105" w:rsidP="003A0105">
      <w:pPr>
        <w:pStyle w:val="Naslov2"/>
        <w:rPr>
          <w:rFonts w:ascii="Times New Roman" w:hAnsi="Times New Roman" w:cs="Times New Roman"/>
          <w:sz w:val="20"/>
          <w:szCs w:val="20"/>
        </w:rPr>
      </w:pPr>
      <w:r w:rsidRPr="00344BC7">
        <w:rPr>
          <w:rFonts w:ascii="Times New Roman" w:hAnsi="Times New Roman" w:cs="Times New Roman"/>
          <w:sz w:val="20"/>
          <w:szCs w:val="20"/>
        </w:rPr>
        <w:t>BILJEŠKE  UZ  BILANCU</w:t>
      </w:r>
    </w:p>
    <w:p w14:paraId="1229A3D7" w14:textId="77777777" w:rsidR="003A0105" w:rsidRPr="00344BC7" w:rsidRDefault="003A0105" w:rsidP="003A0105">
      <w:pPr>
        <w:rPr>
          <w:sz w:val="20"/>
          <w:szCs w:val="20"/>
        </w:rPr>
      </w:pPr>
    </w:p>
    <w:p w14:paraId="627F2B32" w14:textId="77777777" w:rsidR="003A0105" w:rsidRPr="00344BC7" w:rsidRDefault="007731F4" w:rsidP="003A0105">
      <w:pPr>
        <w:ind w:firstLine="900"/>
        <w:rPr>
          <w:sz w:val="20"/>
          <w:szCs w:val="20"/>
        </w:rPr>
      </w:pPr>
      <w:r w:rsidRPr="00344BC7">
        <w:rPr>
          <w:sz w:val="20"/>
          <w:szCs w:val="20"/>
        </w:rPr>
        <w:t>Gradski muzej Županja na dan 31.12.2023</w:t>
      </w:r>
      <w:r w:rsidR="003A0105" w:rsidRPr="00344BC7">
        <w:rPr>
          <w:sz w:val="20"/>
          <w:szCs w:val="20"/>
        </w:rPr>
        <w:t>. godine ima iskazana slijedeća stanja imovine i obveza.</w:t>
      </w:r>
    </w:p>
    <w:p w14:paraId="43A910EE" w14:textId="77777777" w:rsidR="003A0105" w:rsidRPr="00344BC7" w:rsidRDefault="003A0105" w:rsidP="003A0105">
      <w:pPr>
        <w:ind w:firstLine="900"/>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1476"/>
        <w:gridCol w:w="1634"/>
        <w:gridCol w:w="1338"/>
      </w:tblGrid>
      <w:tr w:rsidR="003A0105" w:rsidRPr="00344BC7" w14:paraId="1411CA90" w14:textId="77777777" w:rsidTr="00514E89">
        <w:trPr>
          <w:trHeight w:val="407"/>
        </w:trPr>
        <w:tc>
          <w:tcPr>
            <w:tcW w:w="4732" w:type="dxa"/>
            <w:shd w:val="clear" w:color="auto" w:fill="auto"/>
          </w:tcPr>
          <w:p w14:paraId="47FB464A" w14:textId="77777777" w:rsidR="003A0105" w:rsidRPr="00344BC7" w:rsidRDefault="003A0105" w:rsidP="00192678">
            <w:pPr>
              <w:tabs>
                <w:tab w:val="left" w:pos="1125"/>
              </w:tabs>
              <w:jc w:val="center"/>
              <w:rPr>
                <w:b/>
                <w:sz w:val="20"/>
                <w:szCs w:val="20"/>
              </w:rPr>
            </w:pPr>
            <w:r w:rsidRPr="00344BC7">
              <w:rPr>
                <w:b/>
                <w:sz w:val="20"/>
                <w:szCs w:val="20"/>
              </w:rPr>
              <w:t>OPIS</w:t>
            </w:r>
          </w:p>
        </w:tc>
        <w:tc>
          <w:tcPr>
            <w:tcW w:w="1476" w:type="dxa"/>
          </w:tcPr>
          <w:p w14:paraId="0DC457D5" w14:textId="77777777" w:rsidR="003A0105" w:rsidRPr="00344BC7" w:rsidRDefault="003A0105" w:rsidP="00192678">
            <w:pPr>
              <w:tabs>
                <w:tab w:val="left" w:pos="360"/>
              </w:tabs>
              <w:jc w:val="center"/>
              <w:rPr>
                <w:b/>
                <w:sz w:val="20"/>
                <w:szCs w:val="20"/>
              </w:rPr>
            </w:pPr>
            <w:r w:rsidRPr="00344BC7">
              <w:rPr>
                <w:b/>
                <w:sz w:val="20"/>
                <w:szCs w:val="20"/>
              </w:rPr>
              <w:t xml:space="preserve">STANJE </w:t>
            </w:r>
            <w:r w:rsidR="007731F4" w:rsidRPr="00344BC7">
              <w:rPr>
                <w:b/>
                <w:sz w:val="20"/>
                <w:szCs w:val="20"/>
              </w:rPr>
              <w:t>01.01.2023</w:t>
            </w:r>
            <w:r w:rsidRPr="00344BC7">
              <w:rPr>
                <w:b/>
                <w:sz w:val="20"/>
                <w:szCs w:val="20"/>
              </w:rPr>
              <w:t>.</w:t>
            </w:r>
          </w:p>
        </w:tc>
        <w:tc>
          <w:tcPr>
            <w:tcW w:w="1634" w:type="dxa"/>
            <w:shd w:val="clear" w:color="auto" w:fill="auto"/>
          </w:tcPr>
          <w:p w14:paraId="406A3CC7" w14:textId="77777777" w:rsidR="003A0105" w:rsidRPr="00344BC7" w:rsidRDefault="007731F4" w:rsidP="00192678">
            <w:pPr>
              <w:tabs>
                <w:tab w:val="left" w:pos="360"/>
              </w:tabs>
              <w:jc w:val="center"/>
              <w:rPr>
                <w:b/>
                <w:sz w:val="20"/>
                <w:szCs w:val="20"/>
              </w:rPr>
            </w:pPr>
            <w:r w:rsidRPr="00344BC7">
              <w:rPr>
                <w:b/>
                <w:sz w:val="20"/>
                <w:szCs w:val="20"/>
              </w:rPr>
              <w:t>STANJE 31.12.2023</w:t>
            </w:r>
            <w:r w:rsidR="003A0105" w:rsidRPr="00344BC7">
              <w:rPr>
                <w:b/>
                <w:sz w:val="20"/>
                <w:szCs w:val="20"/>
              </w:rPr>
              <w:t>.</w:t>
            </w:r>
          </w:p>
        </w:tc>
        <w:tc>
          <w:tcPr>
            <w:tcW w:w="1338" w:type="dxa"/>
          </w:tcPr>
          <w:p w14:paraId="46AA7330" w14:textId="77777777" w:rsidR="003A0105" w:rsidRPr="00344BC7" w:rsidRDefault="003A0105" w:rsidP="00192678">
            <w:pPr>
              <w:tabs>
                <w:tab w:val="left" w:pos="360"/>
              </w:tabs>
              <w:jc w:val="center"/>
              <w:rPr>
                <w:b/>
                <w:sz w:val="20"/>
                <w:szCs w:val="20"/>
              </w:rPr>
            </w:pPr>
            <w:r w:rsidRPr="00344BC7">
              <w:rPr>
                <w:b/>
                <w:sz w:val="20"/>
                <w:szCs w:val="20"/>
              </w:rPr>
              <w:t>INDEX</w:t>
            </w:r>
          </w:p>
        </w:tc>
      </w:tr>
      <w:tr w:rsidR="005916FB" w:rsidRPr="00344BC7" w14:paraId="5A64D95F" w14:textId="77777777" w:rsidTr="00514E89">
        <w:tc>
          <w:tcPr>
            <w:tcW w:w="4732" w:type="dxa"/>
            <w:shd w:val="clear" w:color="auto" w:fill="auto"/>
          </w:tcPr>
          <w:p w14:paraId="0994ACCA" w14:textId="77777777" w:rsidR="005916FB" w:rsidRPr="00344BC7" w:rsidRDefault="005916FB" w:rsidP="00347468">
            <w:pPr>
              <w:tabs>
                <w:tab w:val="left" w:pos="1125"/>
              </w:tabs>
              <w:jc w:val="both"/>
              <w:rPr>
                <w:sz w:val="20"/>
                <w:szCs w:val="20"/>
              </w:rPr>
            </w:pPr>
            <w:r w:rsidRPr="00344BC7">
              <w:rPr>
                <w:sz w:val="20"/>
                <w:szCs w:val="20"/>
              </w:rPr>
              <w:t xml:space="preserve">Građevinski objekti </w:t>
            </w:r>
          </w:p>
        </w:tc>
        <w:tc>
          <w:tcPr>
            <w:tcW w:w="1476" w:type="dxa"/>
          </w:tcPr>
          <w:p w14:paraId="27B576E2" w14:textId="77777777" w:rsidR="005916FB" w:rsidRPr="00344BC7" w:rsidRDefault="005916FB" w:rsidP="00632A19">
            <w:pPr>
              <w:jc w:val="right"/>
              <w:rPr>
                <w:sz w:val="20"/>
                <w:szCs w:val="20"/>
              </w:rPr>
            </w:pPr>
            <w:r w:rsidRPr="00344BC7">
              <w:rPr>
                <w:sz w:val="20"/>
                <w:szCs w:val="20"/>
              </w:rPr>
              <w:t>247.770,47</w:t>
            </w:r>
          </w:p>
        </w:tc>
        <w:tc>
          <w:tcPr>
            <w:tcW w:w="1634" w:type="dxa"/>
            <w:shd w:val="clear" w:color="auto" w:fill="auto"/>
          </w:tcPr>
          <w:p w14:paraId="779E8A19" w14:textId="77777777" w:rsidR="005916FB" w:rsidRPr="00344BC7" w:rsidRDefault="005916FB" w:rsidP="00632A19">
            <w:pPr>
              <w:jc w:val="right"/>
              <w:rPr>
                <w:sz w:val="20"/>
                <w:szCs w:val="20"/>
              </w:rPr>
            </w:pPr>
            <w:r w:rsidRPr="00344BC7">
              <w:rPr>
                <w:sz w:val="20"/>
                <w:szCs w:val="20"/>
              </w:rPr>
              <w:t>247.101,66</w:t>
            </w:r>
          </w:p>
        </w:tc>
        <w:tc>
          <w:tcPr>
            <w:tcW w:w="1338" w:type="dxa"/>
          </w:tcPr>
          <w:p w14:paraId="1824E4A9" w14:textId="77777777" w:rsidR="005916FB" w:rsidRPr="00344BC7" w:rsidRDefault="005916FB" w:rsidP="00632A19">
            <w:pPr>
              <w:jc w:val="right"/>
              <w:rPr>
                <w:sz w:val="20"/>
                <w:szCs w:val="20"/>
              </w:rPr>
            </w:pPr>
            <w:r w:rsidRPr="00344BC7">
              <w:rPr>
                <w:sz w:val="20"/>
                <w:szCs w:val="20"/>
              </w:rPr>
              <w:t>99,7</w:t>
            </w:r>
          </w:p>
        </w:tc>
      </w:tr>
      <w:tr w:rsidR="005916FB" w:rsidRPr="00344BC7" w14:paraId="580B1F66" w14:textId="77777777" w:rsidTr="00514E89">
        <w:tc>
          <w:tcPr>
            <w:tcW w:w="4732" w:type="dxa"/>
            <w:shd w:val="clear" w:color="auto" w:fill="auto"/>
          </w:tcPr>
          <w:p w14:paraId="69F3F145" w14:textId="77777777" w:rsidR="005916FB" w:rsidRPr="00344BC7" w:rsidRDefault="005916FB" w:rsidP="00347468">
            <w:pPr>
              <w:tabs>
                <w:tab w:val="left" w:pos="1125"/>
              </w:tabs>
              <w:jc w:val="both"/>
              <w:rPr>
                <w:sz w:val="20"/>
                <w:szCs w:val="20"/>
              </w:rPr>
            </w:pPr>
            <w:r w:rsidRPr="00344BC7">
              <w:rPr>
                <w:sz w:val="20"/>
                <w:szCs w:val="20"/>
              </w:rPr>
              <w:t xml:space="preserve">Postrojenja i oprema       </w:t>
            </w:r>
          </w:p>
        </w:tc>
        <w:tc>
          <w:tcPr>
            <w:tcW w:w="1476" w:type="dxa"/>
          </w:tcPr>
          <w:p w14:paraId="4E7BC326" w14:textId="77777777" w:rsidR="005916FB" w:rsidRPr="00344BC7" w:rsidRDefault="005916FB" w:rsidP="00632A19">
            <w:pPr>
              <w:jc w:val="right"/>
              <w:rPr>
                <w:sz w:val="20"/>
                <w:szCs w:val="20"/>
              </w:rPr>
            </w:pPr>
            <w:r w:rsidRPr="00344BC7">
              <w:rPr>
                <w:sz w:val="20"/>
                <w:szCs w:val="20"/>
              </w:rPr>
              <w:t>2.892,82</w:t>
            </w:r>
          </w:p>
        </w:tc>
        <w:tc>
          <w:tcPr>
            <w:tcW w:w="1634" w:type="dxa"/>
            <w:shd w:val="clear" w:color="auto" w:fill="auto"/>
          </w:tcPr>
          <w:p w14:paraId="7CFA75E6" w14:textId="77777777" w:rsidR="005916FB" w:rsidRPr="00344BC7" w:rsidRDefault="005916FB" w:rsidP="00632A19">
            <w:pPr>
              <w:jc w:val="right"/>
              <w:rPr>
                <w:sz w:val="20"/>
                <w:szCs w:val="20"/>
              </w:rPr>
            </w:pPr>
            <w:r w:rsidRPr="00344BC7">
              <w:rPr>
                <w:sz w:val="20"/>
                <w:szCs w:val="20"/>
              </w:rPr>
              <w:t>4.423,71</w:t>
            </w:r>
          </w:p>
        </w:tc>
        <w:tc>
          <w:tcPr>
            <w:tcW w:w="1338" w:type="dxa"/>
          </w:tcPr>
          <w:p w14:paraId="2F89E461" w14:textId="77777777" w:rsidR="005916FB" w:rsidRPr="00344BC7" w:rsidRDefault="005916FB" w:rsidP="00632A19">
            <w:pPr>
              <w:jc w:val="right"/>
              <w:rPr>
                <w:sz w:val="20"/>
                <w:szCs w:val="20"/>
              </w:rPr>
            </w:pPr>
            <w:r w:rsidRPr="00344BC7">
              <w:rPr>
                <w:sz w:val="20"/>
                <w:szCs w:val="20"/>
              </w:rPr>
              <w:t>152,9</w:t>
            </w:r>
          </w:p>
        </w:tc>
      </w:tr>
      <w:tr w:rsidR="00116E06" w:rsidRPr="00344BC7" w14:paraId="418E0C16" w14:textId="77777777" w:rsidTr="00514E89">
        <w:tc>
          <w:tcPr>
            <w:tcW w:w="4732" w:type="dxa"/>
            <w:shd w:val="clear" w:color="auto" w:fill="auto"/>
          </w:tcPr>
          <w:p w14:paraId="3DC074CE" w14:textId="77777777" w:rsidR="00116E06" w:rsidRPr="00344BC7" w:rsidRDefault="00116E06" w:rsidP="00347468">
            <w:pPr>
              <w:jc w:val="both"/>
              <w:rPr>
                <w:sz w:val="20"/>
                <w:szCs w:val="20"/>
              </w:rPr>
            </w:pPr>
            <w:r w:rsidRPr="00344BC7">
              <w:rPr>
                <w:sz w:val="20"/>
                <w:szCs w:val="20"/>
              </w:rPr>
              <w:t>Sitni inventar i auto gume u upotrebi</w:t>
            </w:r>
          </w:p>
        </w:tc>
        <w:tc>
          <w:tcPr>
            <w:tcW w:w="1476" w:type="dxa"/>
          </w:tcPr>
          <w:p w14:paraId="1B4DDA21" w14:textId="77777777" w:rsidR="00116E06" w:rsidRPr="00344BC7" w:rsidRDefault="00116E06" w:rsidP="00632A19">
            <w:pPr>
              <w:jc w:val="right"/>
              <w:rPr>
                <w:sz w:val="20"/>
                <w:szCs w:val="20"/>
              </w:rPr>
            </w:pPr>
            <w:r w:rsidRPr="00344BC7">
              <w:rPr>
                <w:sz w:val="20"/>
                <w:szCs w:val="20"/>
              </w:rPr>
              <w:t>11.666,89</w:t>
            </w:r>
          </w:p>
        </w:tc>
        <w:tc>
          <w:tcPr>
            <w:tcW w:w="1634" w:type="dxa"/>
            <w:shd w:val="clear" w:color="auto" w:fill="auto"/>
          </w:tcPr>
          <w:p w14:paraId="14B5EEEB" w14:textId="77777777" w:rsidR="00116E06" w:rsidRPr="00344BC7" w:rsidRDefault="00116E06" w:rsidP="00632A19">
            <w:pPr>
              <w:jc w:val="right"/>
              <w:rPr>
                <w:sz w:val="20"/>
                <w:szCs w:val="20"/>
              </w:rPr>
            </w:pPr>
            <w:r w:rsidRPr="00344BC7">
              <w:rPr>
                <w:sz w:val="20"/>
                <w:szCs w:val="20"/>
              </w:rPr>
              <w:t>11.162,90</w:t>
            </w:r>
          </w:p>
        </w:tc>
        <w:tc>
          <w:tcPr>
            <w:tcW w:w="1338" w:type="dxa"/>
          </w:tcPr>
          <w:p w14:paraId="229B796D" w14:textId="77777777" w:rsidR="00116E06" w:rsidRPr="00344BC7" w:rsidRDefault="00116E06" w:rsidP="00632A19">
            <w:pPr>
              <w:jc w:val="right"/>
              <w:rPr>
                <w:sz w:val="20"/>
                <w:szCs w:val="20"/>
              </w:rPr>
            </w:pPr>
            <w:r w:rsidRPr="00344BC7">
              <w:rPr>
                <w:sz w:val="20"/>
                <w:szCs w:val="20"/>
              </w:rPr>
              <w:t>95,7</w:t>
            </w:r>
          </w:p>
        </w:tc>
      </w:tr>
      <w:tr w:rsidR="003C66D0" w:rsidRPr="00344BC7" w14:paraId="3CBC3C36" w14:textId="77777777" w:rsidTr="00514E89">
        <w:tc>
          <w:tcPr>
            <w:tcW w:w="4732" w:type="dxa"/>
            <w:shd w:val="clear" w:color="auto" w:fill="auto"/>
          </w:tcPr>
          <w:p w14:paraId="01727865" w14:textId="77777777" w:rsidR="003C66D0" w:rsidRPr="00344BC7" w:rsidRDefault="003C66D0" w:rsidP="00347468">
            <w:pPr>
              <w:jc w:val="both"/>
              <w:rPr>
                <w:b/>
                <w:sz w:val="20"/>
                <w:szCs w:val="20"/>
              </w:rPr>
            </w:pPr>
            <w:r w:rsidRPr="00344BC7">
              <w:rPr>
                <w:b/>
                <w:sz w:val="20"/>
                <w:szCs w:val="20"/>
              </w:rPr>
              <w:t>Nefinancijska imovina</w:t>
            </w:r>
          </w:p>
        </w:tc>
        <w:tc>
          <w:tcPr>
            <w:tcW w:w="1476" w:type="dxa"/>
          </w:tcPr>
          <w:p w14:paraId="1F816A59" w14:textId="77777777" w:rsidR="003C66D0" w:rsidRPr="00AB209D" w:rsidRDefault="003C66D0" w:rsidP="00632A19">
            <w:pPr>
              <w:jc w:val="right"/>
              <w:rPr>
                <w:b/>
                <w:sz w:val="20"/>
                <w:szCs w:val="20"/>
              </w:rPr>
            </w:pPr>
            <w:r w:rsidRPr="00AB209D">
              <w:rPr>
                <w:b/>
                <w:sz w:val="20"/>
                <w:szCs w:val="20"/>
              </w:rPr>
              <w:t>322.640,67</w:t>
            </w:r>
          </w:p>
        </w:tc>
        <w:tc>
          <w:tcPr>
            <w:tcW w:w="1634" w:type="dxa"/>
            <w:shd w:val="clear" w:color="auto" w:fill="auto"/>
          </w:tcPr>
          <w:p w14:paraId="42D99FE4" w14:textId="77777777" w:rsidR="003C66D0" w:rsidRPr="00AB209D" w:rsidRDefault="003C66D0" w:rsidP="00632A19">
            <w:pPr>
              <w:jc w:val="right"/>
              <w:rPr>
                <w:b/>
                <w:sz w:val="20"/>
                <w:szCs w:val="20"/>
              </w:rPr>
            </w:pPr>
            <w:r w:rsidRPr="00AB209D">
              <w:rPr>
                <w:b/>
                <w:sz w:val="20"/>
                <w:szCs w:val="20"/>
              </w:rPr>
              <w:t>323.502,75</w:t>
            </w:r>
          </w:p>
        </w:tc>
        <w:tc>
          <w:tcPr>
            <w:tcW w:w="1338" w:type="dxa"/>
          </w:tcPr>
          <w:p w14:paraId="31D7BEB7" w14:textId="77777777" w:rsidR="003C66D0" w:rsidRPr="00AB209D" w:rsidRDefault="003C66D0" w:rsidP="00632A19">
            <w:pPr>
              <w:jc w:val="right"/>
              <w:rPr>
                <w:b/>
                <w:sz w:val="20"/>
                <w:szCs w:val="20"/>
              </w:rPr>
            </w:pPr>
            <w:r w:rsidRPr="00AB209D">
              <w:rPr>
                <w:b/>
                <w:sz w:val="20"/>
                <w:szCs w:val="20"/>
              </w:rPr>
              <w:t>100,3</w:t>
            </w:r>
          </w:p>
        </w:tc>
      </w:tr>
      <w:tr w:rsidR="00DD615A" w:rsidRPr="00344BC7" w14:paraId="439783E8" w14:textId="77777777" w:rsidTr="00514E89">
        <w:tc>
          <w:tcPr>
            <w:tcW w:w="4732" w:type="dxa"/>
            <w:shd w:val="clear" w:color="auto" w:fill="auto"/>
          </w:tcPr>
          <w:p w14:paraId="1C5EB345" w14:textId="77777777" w:rsidR="00DD615A" w:rsidRPr="00344BC7" w:rsidRDefault="00DD615A" w:rsidP="00347468">
            <w:pPr>
              <w:jc w:val="both"/>
              <w:rPr>
                <w:sz w:val="20"/>
                <w:szCs w:val="20"/>
              </w:rPr>
            </w:pPr>
            <w:r w:rsidRPr="00344BC7">
              <w:rPr>
                <w:sz w:val="20"/>
                <w:szCs w:val="20"/>
              </w:rPr>
              <w:t xml:space="preserve">Novac na žiro-računu kod tuzemnih poslovnih banaka                                                  </w:t>
            </w:r>
          </w:p>
        </w:tc>
        <w:tc>
          <w:tcPr>
            <w:tcW w:w="1476" w:type="dxa"/>
          </w:tcPr>
          <w:p w14:paraId="781014C3" w14:textId="77777777" w:rsidR="00DD615A" w:rsidRPr="00344BC7" w:rsidRDefault="00DD615A" w:rsidP="00632A19">
            <w:pPr>
              <w:jc w:val="right"/>
              <w:rPr>
                <w:sz w:val="20"/>
                <w:szCs w:val="20"/>
              </w:rPr>
            </w:pPr>
            <w:r w:rsidRPr="00344BC7">
              <w:rPr>
                <w:sz w:val="20"/>
                <w:szCs w:val="20"/>
              </w:rPr>
              <w:t>17.263,03</w:t>
            </w:r>
          </w:p>
        </w:tc>
        <w:tc>
          <w:tcPr>
            <w:tcW w:w="1634" w:type="dxa"/>
            <w:shd w:val="clear" w:color="auto" w:fill="auto"/>
          </w:tcPr>
          <w:p w14:paraId="1BF96D9C" w14:textId="77777777" w:rsidR="00DD615A" w:rsidRPr="00344BC7" w:rsidRDefault="00DD615A" w:rsidP="00632A19">
            <w:pPr>
              <w:jc w:val="right"/>
              <w:rPr>
                <w:sz w:val="20"/>
                <w:szCs w:val="20"/>
              </w:rPr>
            </w:pPr>
            <w:r w:rsidRPr="00344BC7">
              <w:rPr>
                <w:sz w:val="20"/>
                <w:szCs w:val="20"/>
              </w:rPr>
              <w:t>15.906,06</w:t>
            </w:r>
          </w:p>
        </w:tc>
        <w:tc>
          <w:tcPr>
            <w:tcW w:w="1338" w:type="dxa"/>
          </w:tcPr>
          <w:p w14:paraId="4AEEBB62" w14:textId="77777777" w:rsidR="00DD615A" w:rsidRPr="00344BC7" w:rsidRDefault="00DD615A" w:rsidP="00632A19">
            <w:pPr>
              <w:jc w:val="right"/>
              <w:rPr>
                <w:sz w:val="20"/>
                <w:szCs w:val="20"/>
              </w:rPr>
            </w:pPr>
            <w:r w:rsidRPr="00344BC7">
              <w:rPr>
                <w:sz w:val="20"/>
                <w:szCs w:val="20"/>
              </w:rPr>
              <w:t>92,1</w:t>
            </w:r>
          </w:p>
        </w:tc>
      </w:tr>
      <w:tr w:rsidR="00DD615A" w:rsidRPr="00344BC7" w14:paraId="7FF56E4D" w14:textId="77777777" w:rsidTr="00514E89">
        <w:tc>
          <w:tcPr>
            <w:tcW w:w="4732" w:type="dxa"/>
            <w:shd w:val="clear" w:color="auto" w:fill="auto"/>
          </w:tcPr>
          <w:p w14:paraId="26AC24F0" w14:textId="77777777" w:rsidR="00DD615A" w:rsidRPr="00344BC7" w:rsidRDefault="00DD615A" w:rsidP="00347468">
            <w:pPr>
              <w:jc w:val="both"/>
              <w:rPr>
                <w:sz w:val="20"/>
                <w:szCs w:val="20"/>
              </w:rPr>
            </w:pPr>
            <w:r w:rsidRPr="00344BC7">
              <w:rPr>
                <w:sz w:val="20"/>
                <w:szCs w:val="20"/>
              </w:rPr>
              <w:t>Novac u blagajni</w:t>
            </w:r>
          </w:p>
        </w:tc>
        <w:tc>
          <w:tcPr>
            <w:tcW w:w="1476" w:type="dxa"/>
          </w:tcPr>
          <w:p w14:paraId="3511D3DE" w14:textId="77777777" w:rsidR="00DD615A" w:rsidRPr="00344BC7" w:rsidRDefault="00DD615A" w:rsidP="00632A19">
            <w:pPr>
              <w:jc w:val="right"/>
              <w:rPr>
                <w:sz w:val="20"/>
                <w:szCs w:val="20"/>
              </w:rPr>
            </w:pPr>
            <w:r w:rsidRPr="00344BC7">
              <w:rPr>
                <w:sz w:val="20"/>
                <w:szCs w:val="20"/>
              </w:rPr>
              <w:t>0,00</w:t>
            </w:r>
          </w:p>
        </w:tc>
        <w:tc>
          <w:tcPr>
            <w:tcW w:w="1634" w:type="dxa"/>
            <w:shd w:val="clear" w:color="auto" w:fill="auto"/>
          </w:tcPr>
          <w:p w14:paraId="07F9CCD6" w14:textId="77777777" w:rsidR="00DD615A" w:rsidRPr="00344BC7" w:rsidRDefault="00DD615A" w:rsidP="00632A19">
            <w:pPr>
              <w:jc w:val="right"/>
              <w:rPr>
                <w:sz w:val="20"/>
                <w:szCs w:val="20"/>
              </w:rPr>
            </w:pPr>
            <w:r w:rsidRPr="00344BC7">
              <w:rPr>
                <w:sz w:val="20"/>
                <w:szCs w:val="20"/>
              </w:rPr>
              <w:t>17,42</w:t>
            </w:r>
          </w:p>
        </w:tc>
        <w:tc>
          <w:tcPr>
            <w:tcW w:w="1338" w:type="dxa"/>
          </w:tcPr>
          <w:p w14:paraId="1533D169" w14:textId="77777777" w:rsidR="00DD615A" w:rsidRPr="00344BC7" w:rsidRDefault="00DD615A" w:rsidP="00632A19">
            <w:pPr>
              <w:jc w:val="right"/>
              <w:rPr>
                <w:sz w:val="20"/>
                <w:szCs w:val="20"/>
              </w:rPr>
            </w:pPr>
            <w:r w:rsidRPr="00344BC7">
              <w:rPr>
                <w:sz w:val="20"/>
                <w:szCs w:val="20"/>
              </w:rPr>
              <w:t>-</w:t>
            </w:r>
          </w:p>
        </w:tc>
      </w:tr>
      <w:tr w:rsidR="00DD615A" w:rsidRPr="00344BC7" w14:paraId="1B77C688" w14:textId="77777777" w:rsidTr="00514E89">
        <w:tc>
          <w:tcPr>
            <w:tcW w:w="4732" w:type="dxa"/>
            <w:shd w:val="clear" w:color="auto" w:fill="auto"/>
          </w:tcPr>
          <w:p w14:paraId="059572EB" w14:textId="77777777" w:rsidR="00DD615A" w:rsidRPr="00344BC7" w:rsidRDefault="00DD615A" w:rsidP="00347468">
            <w:pPr>
              <w:jc w:val="both"/>
              <w:rPr>
                <w:sz w:val="20"/>
                <w:szCs w:val="20"/>
              </w:rPr>
            </w:pPr>
            <w:r w:rsidRPr="00344BC7">
              <w:rPr>
                <w:sz w:val="20"/>
                <w:szCs w:val="20"/>
              </w:rPr>
              <w:t>Ostala potraživanja</w:t>
            </w:r>
          </w:p>
        </w:tc>
        <w:tc>
          <w:tcPr>
            <w:tcW w:w="1476" w:type="dxa"/>
          </w:tcPr>
          <w:p w14:paraId="5166470F" w14:textId="77777777" w:rsidR="00DD615A" w:rsidRPr="00344BC7" w:rsidRDefault="00DD615A" w:rsidP="00632A19">
            <w:pPr>
              <w:jc w:val="right"/>
              <w:rPr>
                <w:sz w:val="20"/>
                <w:szCs w:val="20"/>
              </w:rPr>
            </w:pPr>
            <w:r w:rsidRPr="00344BC7">
              <w:rPr>
                <w:sz w:val="20"/>
                <w:szCs w:val="20"/>
              </w:rPr>
              <w:t>80,72</w:t>
            </w:r>
          </w:p>
        </w:tc>
        <w:tc>
          <w:tcPr>
            <w:tcW w:w="1634" w:type="dxa"/>
            <w:shd w:val="clear" w:color="auto" w:fill="auto"/>
          </w:tcPr>
          <w:p w14:paraId="5BC0F24C" w14:textId="77777777" w:rsidR="00DD615A" w:rsidRPr="00344BC7" w:rsidRDefault="00DD615A" w:rsidP="00632A19">
            <w:pPr>
              <w:jc w:val="right"/>
              <w:rPr>
                <w:sz w:val="20"/>
                <w:szCs w:val="20"/>
              </w:rPr>
            </w:pPr>
            <w:r w:rsidRPr="00344BC7">
              <w:rPr>
                <w:sz w:val="20"/>
                <w:szCs w:val="20"/>
              </w:rPr>
              <w:t>0,00</w:t>
            </w:r>
          </w:p>
        </w:tc>
        <w:tc>
          <w:tcPr>
            <w:tcW w:w="1338" w:type="dxa"/>
          </w:tcPr>
          <w:p w14:paraId="141C4460" w14:textId="77777777" w:rsidR="00DD615A" w:rsidRPr="00344BC7" w:rsidRDefault="00DD615A" w:rsidP="00632A19">
            <w:pPr>
              <w:jc w:val="right"/>
              <w:rPr>
                <w:sz w:val="20"/>
                <w:szCs w:val="20"/>
              </w:rPr>
            </w:pPr>
            <w:r w:rsidRPr="00344BC7">
              <w:rPr>
                <w:sz w:val="20"/>
                <w:szCs w:val="20"/>
              </w:rPr>
              <w:t>0,</w:t>
            </w:r>
            <w:proofErr w:type="spellStart"/>
            <w:r w:rsidRPr="00344BC7">
              <w:rPr>
                <w:sz w:val="20"/>
                <w:szCs w:val="20"/>
              </w:rPr>
              <w:t>0</w:t>
            </w:r>
            <w:proofErr w:type="spellEnd"/>
          </w:p>
        </w:tc>
      </w:tr>
      <w:tr w:rsidR="00DD615A" w:rsidRPr="00344BC7" w14:paraId="3AA90E19" w14:textId="77777777" w:rsidTr="00514E89">
        <w:tc>
          <w:tcPr>
            <w:tcW w:w="4732" w:type="dxa"/>
            <w:shd w:val="clear" w:color="auto" w:fill="auto"/>
          </w:tcPr>
          <w:p w14:paraId="5D0816F6" w14:textId="77777777" w:rsidR="00DD615A" w:rsidRPr="00344BC7" w:rsidRDefault="00DD615A" w:rsidP="00347468">
            <w:pPr>
              <w:jc w:val="both"/>
              <w:rPr>
                <w:sz w:val="20"/>
                <w:szCs w:val="20"/>
              </w:rPr>
            </w:pPr>
            <w:r w:rsidRPr="00344BC7">
              <w:rPr>
                <w:sz w:val="20"/>
                <w:szCs w:val="20"/>
              </w:rPr>
              <w:t>Potraživanja za prihode poslovanja</w:t>
            </w:r>
          </w:p>
        </w:tc>
        <w:tc>
          <w:tcPr>
            <w:tcW w:w="1476" w:type="dxa"/>
          </w:tcPr>
          <w:p w14:paraId="1A65C71E" w14:textId="77777777" w:rsidR="00DD615A" w:rsidRPr="00344BC7" w:rsidRDefault="00DD615A" w:rsidP="00632A19">
            <w:pPr>
              <w:jc w:val="right"/>
              <w:rPr>
                <w:sz w:val="20"/>
                <w:szCs w:val="20"/>
              </w:rPr>
            </w:pPr>
            <w:r w:rsidRPr="00344BC7">
              <w:rPr>
                <w:sz w:val="20"/>
                <w:szCs w:val="20"/>
              </w:rPr>
              <w:t>0,00</w:t>
            </w:r>
          </w:p>
        </w:tc>
        <w:tc>
          <w:tcPr>
            <w:tcW w:w="1634" w:type="dxa"/>
            <w:shd w:val="clear" w:color="auto" w:fill="auto"/>
          </w:tcPr>
          <w:p w14:paraId="4D948504" w14:textId="77777777" w:rsidR="00DD615A" w:rsidRPr="00344BC7" w:rsidRDefault="00DD615A" w:rsidP="00632A19">
            <w:pPr>
              <w:jc w:val="right"/>
              <w:rPr>
                <w:sz w:val="20"/>
                <w:szCs w:val="20"/>
              </w:rPr>
            </w:pPr>
            <w:r w:rsidRPr="00344BC7">
              <w:rPr>
                <w:sz w:val="20"/>
                <w:szCs w:val="20"/>
              </w:rPr>
              <w:t>105,00</w:t>
            </w:r>
          </w:p>
        </w:tc>
        <w:tc>
          <w:tcPr>
            <w:tcW w:w="1338" w:type="dxa"/>
          </w:tcPr>
          <w:p w14:paraId="55BFD05B" w14:textId="77777777" w:rsidR="00DD615A" w:rsidRPr="00344BC7" w:rsidRDefault="00DD615A" w:rsidP="00632A19">
            <w:pPr>
              <w:jc w:val="right"/>
              <w:rPr>
                <w:sz w:val="20"/>
                <w:szCs w:val="20"/>
              </w:rPr>
            </w:pPr>
            <w:r w:rsidRPr="00344BC7">
              <w:rPr>
                <w:sz w:val="20"/>
                <w:szCs w:val="20"/>
              </w:rPr>
              <w:t>-</w:t>
            </w:r>
          </w:p>
        </w:tc>
      </w:tr>
      <w:tr w:rsidR="00591F9E" w:rsidRPr="00344BC7" w14:paraId="058074BD" w14:textId="77777777" w:rsidTr="00514E89">
        <w:tc>
          <w:tcPr>
            <w:tcW w:w="4732" w:type="dxa"/>
            <w:shd w:val="clear" w:color="auto" w:fill="auto"/>
          </w:tcPr>
          <w:p w14:paraId="028EA329" w14:textId="77777777" w:rsidR="00591F9E" w:rsidRPr="00344BC7" w:rsidRDefault="00591F9E" w:rsidP="00347468">
            <w:pPr>
              <w:jc w:val="both"/>
              <w:rPr>
                <w:sz w:val="20"/>
                <w:szCs w:val="20"/>
              </w:rPr>
            </w:pPr>
            <w:r w:rsidRPr="00344BC7">
              <w:rPr>
                <w:sz w:val="20"/>
                <w:szCs w:val="20"/>
              </w:rPr>
              <w:t>Rashodi budućeg razdoblja</w:t>
            </w:r>
          </w:p>
        </w:tc>
        <w:tc>
          <w:tcPr>
            <w:tcW w:w="1476" w:type="dxa"/>
          </w:tcPr>
          <w:p w14:paraId="351619B6" w14:textId="77777777" w:rsidR="00591F9E" w:rsidRPr="00344BC7" w:rsidRDefault="00591F9E" w:rsidP="00632A19">
            <w:pPr>
              <w:jc w:val="right"/>
              <w:rPr>
                <w:sz w:val="20"/>
                <w:szCs w:val="20"/>
              </w:rPr>
            </w:pPr>
            <w:r w:rsidRPr="00344BC7">
              <w:rPr>
                <w:sz w:val="20"/>
                <w:szCs w:val="20"/>
              </w:rPr>
              <w:t>14.784,98</w:t>
            </w:r>
          </w:p>
        </w:tc>
        <w:tc>
          <w:tcPr>
            <w:tcW w:w="1634" w:type="dxa"/>
            <w:shd w:val="clear" w:color="auto" w:fill="auto"/>
          </w:tcPr>
          <w:p w14:paraId="2BE52F57" w14:textId="77777777" w:rsidR="00591F9E" w:rsidRPr="00344BC7" w:rsidRDefault="00591F9E" w:rsidP="00632A19">
            <w:pPr>
              <w:jc w:val="right"/>
              <w:rPr>
                <w:sz w:val="20"/>
                <w:szCs w:val="20"/>
              </w:rPr>
            </w:pPr>
            <w:r w:rsidRPr="00344BC7">
              <w:rPr>
                <w:sz w:val="20"/>
                <w:szCs w:val="20"/>
              </w:rPr>
              <w:t>13.955,96</w:t>
            </w:r>
          </w:p>
        </w:tc>
        <w:tc>
          <w:tcPr>
            <w:tcW w:w="1338" w:type="dxa"/>
          </w:tcPr>
          <w:p w14:paraId="1255ED62" w14:textId="77777777" w:rsidR="00591F9E" w:rsidRPr="00344BC7" w:rsidRDefault="00591F9E" w:rsidP="00632A19">
            <w:pPr>
              <w:jc w:val="right"/>
              <w:rPr>
                <w:sz w:val="20"/>
                <w:szCs w:val="20"/>
              </w:rPr>
            </w:pPr>
            <w:r w:rsidRPr="00344BC7">
              <w:rPr>
                <w:sz w:val="20"/>
                <w:szCs w:val="20"/>
              </w:rPr>
              <w:t>94,4</w:t>
            </w:r>
          </w:p>
        </w:tc>
      </w:tr>
      <w:tr w:rsidR="00591F9E" w:rsidRPr="00344BC7" w14:paraId="02DFE6B1" w14:textId="77777777" w:rsidTr="00514E89">
        <w:tc>
          <w:tcPr>
            <w:tcW w:w="4732" w:type="dxa"/>
            <w:shd w:val="clear" w:color="auto" w:fill="auto"/>
          </w:tcPr>
          <w:p w14:paraId="2C0B299D" w14:textId="77777777" w:rsidR="00591F9E" w:rsidRPr="00344BC7" w:rsidRDefault="00591F9E" w:rsidP="00347468">
            <w:pPr>
              <w:tabs>
                <w:tab w:val="left" w:pos="360"/>
              </w:tabs>
              <w:jc w:val="both"/>
              <w:rPr>
                <w:b/>
                <w:sz w:val="20"/>
                <w:szCs w:val="20"/>
              </w:rPr>
            </w:pPr>
            <w:r w:rsidRPr="00344BC7">
              <w:rPr>
                <w:b/>
                <w:sz w:val="20"/>
                <w:szCs w:val="20"/>
              </w:rPr>
              <w:t>Financijska imovina</w:t>
            </w:r>
          </w:p>
        </w:tc>
        <w:tc>
          <w:tcPr>
            <w:tcW w:w="1476" w:type="dxa"/>
          </w:tcPr>
          <w:p w14:paraId="4348334B" w14:textId="77777777" w:rsidR="00591F9E" w:rsidRPr="00344BC7" w:rsidRDefault="00591F9E" w:rsidP="00632A19">
            <w:pPr>
              <w:jc w:val="right"/>
              <w:rPr>
                <w:b/>
                <w:sz w:val="20"/>
                <w:szCs w:val="20"/>
              </w:rPr>
            </w:pPr>
            <w:r w:rsidRPr="00344BC7">
              <w:rPr>
                <w:b/>
                <w:sz w:val="20"/>
                <w:szCs w:val="20"/>
              </w:rPr>
              <w:t>32.128,73</w:t>
            </w:r>
          </w:p>
        </w:tc>
        <w:tc>
          <w:tcPr>
            <w:tcW w:w="1634" w:type="dxa"/>
            <w:shd w:val="clear" w:color="auto" w:fill="auto"/>
          </w:tcPr>
          <w:p w14:paraId="43E4941F" w14:textId="77777777" w:rsidR="00591F9E" w:rsidRPr="00344BC7" w:rsidRDefault="00591F9E" w:rsidP="00632A19">
            <w:pPr>
              <w:jc w:val="right"/>
              <w:rPr>
                <w:b/>
                <w:sz w:val="20"/>
                <w:szCs w:val="20"/>
              </w:rPr>
            </w:pPr>
            <w:r w:rsidRPr="00344BC7">
              <w:rPr>
                <w:b/>
                <w:sz w:val="20"/>
                <w:szCs w:val="20"/>
              </w:rPr>
              <w:t>29.984,44</w:t>
            </w:r>
          </w:p>
        </w:tc>
        <w:tc>
          <w:tcPr>
            <w:tcW w:w="1338" w:type="dxa"/>
          </w:tcPr>
          <w:p w14:paraId="331334DE" w14:textId="77777777" w:rsidR="00591F9E" w:rsidRPr="00344BC7" w:rsidRDefault="00591F9E" w:rsidP="00632A19">
            <w:pPr>
              <w:jc w:val="right"/>
              <w:rPr>
                <w:b/>
                <w:sz w:val="20"/>
                <w:szCs w:val="20"/>
              </w:rPr>
            </w:pPr>
            <w:r w:rsidRPr="00344BC7">
              <w:rPr>
                <w:b/>
                <w:sz w:val="20"/>
                <w:szCs w:val="20"/>
              </w:rPr>
              <w:t>93,3</w:t>
            </w:r>
          </w:p>
        </w:tc>
      </w:tr>
      <w:tr w:rsidR="00591F9E" w:rsidRPr="00344BC7" w14:paraId="48C614DF" w14:textId="77777777" w:rsidTr="00514E89">
        <w:tc>
          <w:tcPr>
            <w:tcW w:w="4732" w:type="dxa"/>
            <w:shd w:val="clear" w:color="auto" w:fill="auto"/>
          </w:tcPr>
          <w:p w14:paraId="62A1D70F" w14:textId="77777777" w:rsidR="00591F9E" w:rsidRPr="00344BC7" w:rsidRDefault="00591F9E" w:rsidP="00347468">
            <w:pPr>
              <w:tabs>
                <w:tab w:val="left" w:pos="360"/>
              </w:tabs>
              <w:jc w:val="both"/>
              <w:rPr>
                <w:b/>
                <w:sz w:val="20"/>
                <w:szCs w:val="20"/>
              </w:rPr>
            </w:pPr>
            <w:r w:rsidRPr="00344BC7">
              <w:rPr>
                <w:b/>
                <w:sz w:val="20"/>
                <w:szCs w:val="20"/>
              </w:rPr>
              <w:t>IMOVINA</w:t>
            </w:r>
          </w:p>
        </w:tc>
        <w:tc>
          <w:tcPr>
            <w:tcW w:w="1476" w:type="dxa"/>
          </w:tcPr>
          <w:p w14:paraId="75C45495" w14:textId="77777777" w:rsidR="00591F9E" w:rsidRPr="00344BC7" w:rsidRDefault="00591F9E" w:rsidP="00632A19">
            <w:pPr>
              <w:jc w:val="right"/>
              <w:rPr>
                <w:b/>
                <w:sz w:val="20"/>
                <w:szCs w:val="20"/>
              </w:rPr>
            </w:pPr>
            <w:r w:rsidRPr="00344BC7">
              <w:rPr>
                <w:b/>
                <w:sz w:val="20"/>
                <w:szCs w:val="20"/>
              </w:rPr>
              <w:t>354.769,40</w:t>
            </w:r>
          </w:p>
        </w:tc>
        <w:tc>
          <w:tcPr>
            <w:tcW w:w="1634" w:type="dxa"/>
            <w:shd w:val="clear" w:color="auto" w:fill="auto"/>
          </w:tcPr>
          <w:p w14:paraId="07EDCBD2" w14:textId="77777777" w:rsidR="00591F9E" w:rsidRPr="00344BC7" w:rsidRDefault="00591F9E" w:rsidP="00632A19">
            <w:pPr>
              <w:jc w:val="right"/>
              <w:rPr>
                <w:b/>
                <w:sz w:val="20"/>
                <w:szCs w:val="20"/>
              </w:rPr>
            </w:pPr>
            <w:r w:rsidRPr="00344BC7">
              <w:rPr>
                <w:b/>
                <w:sz w:val="20"/>
                <w:szCs w:val="20"/>
              </w:rPr>
              <w:t>353.487,19</w:t>
            </w:r>
          </w:p>
        </w:tc>
        <w:tc>
          <w:tcPr>
            <w:tcW w:w="1338" w:type="dxa"/>
          </w:tcPr>
          <w:p w14:paraId="48B0FC26" w14:textId="77777777" w:rsidR="00591F9E" w:rsidRPr="00344BC7" w:rsidRDefault="00591F9E" w:rsidP="00632A19">
            <w:pPr>
              <w:jc w:val="right"/>
              <w:rPr>
                <w:b/>
                <w:sz w:val="20"/>
                <w:szCs w:val="20"/>
              </w:rPr>
            </w:pPr>
            <w:r w:rsidRPr="00344BC7">
              <w:rPr>
                <w:b/>
                <w:sz w:val="20"/>
                <w:szCs w:val="20"/>
              </w:rPr>
              <w:t>99,6</w:t>
            </w:r>
          </w:p>
        </w:tc>
      </w:tr>
      <w:tr w:rsidR="00591F9E" w:rsidRPr="00344BC7" w14:paraId="367B5939" w14:textId="77777777" w:rsidTr="00514E89">
        <w:tc>
          <w:tcPr>
            <w:tcW w:w="4732" w:type="dxa"/>
            <w:shd w:val="clear" w:color="auto" w:fill="auto"/>
          </w:tcPr>
          <w:p w14:paraId="721B8B65" w14:textId="77777777" w:rsidR="00591F9E" w:rsidRPr="00344BC7" w:rsidRDefault="00591F9E" w:rsidP="00347468">
            <w:pPr>
              <w:jc w:val="both"/>
              <w:rPr>
                <w:sz w:val="20"/>
                <w:szCs w:val="20"/>
              </w:rPr>
            </w:pPr>
            <w:r w:rsidRPr="00344BC7">
              <w:rPr>
                <w:sz w:val="20"/>
                <w:szCs w:val="20"/>
              </w:rPr>
              <w:t>Obveze za zaposlene</w:t>
            </w:r>
          </w:p>
        </w:tc>
        <w:tc>
          <w:tcPr>
            <w:tcW w:w="1476" w:type="dxa"/>
          </w:tcPr>
          <w:p w14:paraId="25BFA079" w14:textId="77777777" w:rsidR="00591F9E" w:rsidRPr="00344BC7" w:rsidRDefault="00591F9E" w:rsidP="00632A19">
            <w:pPr>
              <w:jc w:val="right"/>
              <w:rPr>
                <w:sz w:val="20"/>
                <w:szCs w:val="20"/>
              </w:rPr>
            </w:pPr>
            <w:r w:rsidRPr="00344BC7">
              <w:rPr>
                <w:sz w:val="20"/>
                <w:szCs w:val="20"/>
              </w:rPr>
              <w:t>10.446,53</w:t>
            </w:r>
          </w:p>
        </w:tc>
        <w:tc>
          <w:tcPr>
            <w:tcW w:w="1634" w:type="dxa"/>
            <w:shd w:val="clear" w:color="auto" w:fill="auto"/>
          </w:tcPr>
          <w:p w14:paraId="437C0252" w14:textId="77777777" w:rsidR="00591F9E" w:rsidRPr="00344BC7" w:rsidRDefault="00591F9E" w:rsidP="00632A19">
            <w:pPr>
              <w:jc w:val="right"/>
              <w:rPr>
                <w:sz w:val="20"/>
                <w:szCs w:val="20"/>
              </w:rPr>
            </w:pPr>
            <w:r w:rsidRPr="00344BC7">
              <w:rPr>
                <w:sz w:val="20"/>
                <w:szCs w:val="20"/>
              </w:rPr>
              <w:t>11.721,91</w:t>
            </w:r>
          </w:p>
        </w:tc>
        <w:tc>
          <w:tcPr>
            <w:tcW w:w="1338" w:type="dxa"/>
          </w:tcPr>
          <w:p w14:paraId="0771DEC1" w14:textId="77777777" w:rsidR="00591F9E" w:rsidRPr="00344BC7" w:rsidRDefault="00591F9E" w:rsidP="00632A19">
            <w:pPr>
              <w:jc w:val="right"/>
              <w:rPr>
                <w:sz w:val="20"/>
                <w:szCs w:val="20"/>
              </w:rPr>
            </w:pPr>
            <w:r w:rsidRPr="00344BC7">
              <w:rPr>
                <w:sz w:val="20"/>
                <w:szCs w:val="20"/>
              </w:rPr>
              <w:t>112,2</w:t>
            </w:r>
          </w:p>
        </w:tc>
      </w:tr>
      <w:tr w:rsidR="00591F9E" w:rsidRPr="00344BC7" w14:paraId="10E0BF4A" w14:textId="77777777" w:rsidTr="00514E89">
        <w:tc>
          <w:tcPr>
            <w:tcW w:w="4732" w:type="dxa"/>
            <w:shd w:val="clear" w:color="auto" w:fill="auto"/>
          </w:tcPr>
          <w:p w14:paraId="351AA1A5" w14:textId="77777777" w:rsidR="00591F9E" w:rsidRPr="00344BC7" w:rsidRDefault="00591F9E" w:rsidP="00347468">
            <w:pPr>
              <w:jc w:val="both"/>
              <w:rPr>
                <w:sz w:val="20"/>
                <w:szCs w:val="20"/>
              </w:rPr>
            </w:pPr>
            <w:r w:rsidRPr="00344BC7">
              <w:rPr>
                <w:sz w:val="20"/>
                <w:szCs w:val="20"/>
              </w:rPr>
              <w:t>Obveze za materijalne rashode</w:t>
            </w:r>
          </w:p>
        </w:tc>
        <w:tc>
          <w:tcPr>
            <w:tcW w:w="1476" w:type="dxa"/>
          </w:tcPr>
          <w:p w14:paraId="59B80AC9" w14:textId="77777777" w:rsidR="00591F9E" w:rsidRPr="00344BC7" w:rsidRDefault="00591F9E" w:rsidP="00632A19">
            <w:pPr>
              <w:jc w:val="right"/>
              <w:rPr>
                <w:sz w:val="20"/>
                <w:szCs w:val="20"/>
              </w:rPr>
            </w:pPr>
            <w:r w:rsidRPr="00344BC7">
              <w:rPr>
                <w:sz w:val="20"/>
                <w:szCs w:val="20"/>
              </w:rPr>
              <w:t>5.085,14</w:t>
            </w:r>
          </w:p>
        </w:tc>
        <w:tc>
          <w:tcPr>
            <w:tcW w:w="1634" w:type="dxa"/>
            <w:shd w:val="clear" w:color="auto" w:fill="auto"/>
          </w:tcPr>
          <w:p w14:paraId="0482A4AE" w14:textId="77777777" w:rsidR="00591F9E" w:rsidRPr="00344BC7" w:rsidRDefault="00591F9E" w:rsidP="00632A19">
            <w:pPr>
              <w:jc w:val="right"/>
              <w:rPr>
                <w:sz w:val="20"/>
                <w:szCs w:val="20"/>
              </w:rPr>
            </w:pPr>
            <w:r w:rsidRPr="00344BC7">
              <w:rPr>
                <w:sz w:val="20"/>
                <w:szCs w:val="20"/>
              </w:rPr>
              <w:t>2.190,08</w:t>
            </w:r>
          </w:p>
        </w:tc>
        <w:tc>
          <w:tcPr>
            <w:tcW w:w="1338" w:type="dxa"/>
          </w:tcPr>
          <w:p w14:paraId="22F44AA7" w14:textId="77777777" w:rsidR="00591F9E" w:rsidRPr="00344BC7" w:rsidRDefault="00591F9E" w:rsidP="00632A19">
            <w:pPr>
              <w:jc w:val="right"/>
              <w:rPr>
                <w:sz w:val="20"/>
                <w:szCs w:val="20"/>
              </w:rPr>
            </w:pPr>
            <w:r w:rsidRPr="00344BC7">
              <w:rPr>
                <w:sz w:val="20"/>
                <w:szCs w:val="20"/>
              </w:rPr>
              <w:t>43,1</w:t>
            </w:r>
          </w:p>
        </w:tc>
      </w:tr>
      <w:tr w:rsidR="00591F9E" w:rsidRPr="00344BC7" w14:paraId="19764262" w14:textId="77777777" w:rsidTr="00514E89">
        <w:tc>
          <w:tcPr>
            <w:tcW w:w="4732" w:type="dxa"/>
            <w:shd w:val="clear" w:color="auto" w:fill="auto"/>
          </w:tcPr>
          <w:p w14:paraId="19172C76" w14:textId="77777777" w:rsidR="00591F9E" w:rsidRPr="00344BC7" w:rsidRDefault="00591F9E" w:rsidP="00347468">
            <w:pPr>
              <w:jc w:val="both"/>
              <w:rPr>
                <w:sz w:val="20"/>
                <w:szCs w:val="20"/>
              </w:rPr>
            </w:pPr>
            <w:r w:rsidRPr="00344BC7">
              <w:rPr>
                <w:sz w:val="20"/>
                <w:szCs w:val="20"/>
              </w:rPr>
              <w:t>Obveze za financijske rashode</w:t>
            </w:r>
          </w:p>
        </w:tc>
        <w:tc>
          <w:tcPr>
            <w:tcW w:w="1476" w:type="dxa"/>
          </w:tcPr>
          <w:p w14:paraId="291175A6" w14:textId="77777777" w:rsidR="00591F9E" w:rsidRPr="00344BC7" w:rsidRDefault="00591F9E" w:rsidP="00632A19">
            <w:pPr>
              <w:jc w:val="right"/>
              <w:rPr>
                <w:sz w:val="20"/>
                <w:szCs w:val="20"/>
              </w:rPr>
            </w:pPr>
            <w:r w:rsidRPr="00344BC7">
              <w:rPr>
                <w:sz w:val="20"/>
                <w:szCs w:val="20"/>
              </w:rPr>
              <w:t>2,16</w:t>
            </w:r>
          </w:p>
        </w:tc>
        <w:tc>
          <w:tcPr>
            <w:tcW w:w="1634" w:type="dxa"/>
            <w:shd w:val="clear" w:color="auto" w:fill="auto"/>
          </w:tcPr>
          <w:p w14:paraId="1DDB1F6C" w14:textId="77777777" w:rsidR="00591F9E" w:rsidRPr="00344BC7" w:rsidRDefault="00591F9E" w:rsidP="00632A19">
            <w:pPr>
              <w:jc w:val="right"/>
              <w:rPr>
                <w:sz w:val="20"/>
                <w:szCs w:val="20"/>
              </w:rPr>
            </w:pPr>
            <w:r w:rsidRPr="00344BC7">
              <w:rPr>
                <w:sz w:val="20"/>
                <w:szCs w:val="20"/>
              </w:rPr>
              <w:t>43,97</w:t>
            </w:r>
          </w:p>
        </w:tc>
        <w:tc>
          <w:tcPr>
            <w:tcW w:w="1338" w:type="dxa"/>
          </w:tcPr>
          <w:p w14:paraId="7A513BF6" w14:textId="77777777" w:rsidR="00591F9E" w:rsidRPr="00344BC7" w:rsidRDefault="00591F9E" w:rsidP="00632A19">
            <w:pPr>
              <w:jc w:val="right"/>
              <w:rPr>
                <w:sz w:val="20"/>
                <w:szCs w:val="20"/>
              </w:rPr>
            </w:pPr>
            <w:r w:rsidRPr="00344BC7">
              <w:rPr>
                <w:sz w:val="20"/>
                <w:szCs w:val="20"/>
              </w:rPr>
              <w:t>2.035,6</w:t>
            </w:r>
          </w:p>
        </w:tc>
      </w:tr>
      <w:tr w:rsidR="00D2356D" w:rsidRPr="00344BC7" w14:paraId="1350B03A" w14:textId="77777777" w:rsidTr="00514E89">
        <w:tc>
          <w:tcPr>
            <w:tcW w:w="4732" w:type="dxa"/>
            <w:shd w:val="clear" w:color="auto" w:fill="auto"/>
          </w:tcPr>
          <w:p w14:paraId="29FC0540" w14:textId="7F243605" w:rsidR="00D2356D" w:rsidRPr="00344BC7" w:rsidRDefault="00D2356D" w:rsidP="00D2356D">
            <w:pPr>
              <w:tabs>
                <w:tab w:val="left" w:pos="360"/>
              </w:tabs>
              <w:jc w:val="both"/>
              <w:rPr>
                <w:bCs/>
                <w:sz w:val="20"/>
                <w:szCs w:val="20"/>
              </w:rPr>
            </w:pPr>
            <w:r w:rsidRPr="00344BC7">
              <w:rPr>
                <w:bCs/>
                <w:sz w:val="20"/>
                <w:szCs w:val="20"/>
              </w:rPr>
              <w:t>Prihodi budućeg razdoblja</w:t>
            </w:r>
          </w:p>
        </w:tc>
        <w:tc>
          <w:tcPr>
            <w:tcW w:w="1476" w:type="dxa"/>
          </w:tcPr>
          <w:p w14:paraId="44623128" w14:textId="361CD3E7" w:rsidR="00D2356D" w:rsidRPr="00344BC7" w:rsidRDefault="00D2356D" w:rsidP="00632A19">
            <w:pPr>
              <w:jc w:val="right"/>
              <w:rPr>
                <w:bCs/>
                <w:sz w:val="20"/>
                <w:szCs w:val="20"/>
              </w:rPr>
            </w:pPr>
            <w:r w:rsidRPr="00344BC7">
              <w:rPr>
                <w:sz w:val="20"/>
                <w:szCs w:val="20"/>
              </w:rPr>
              <w:t>0,00</w:t>
            </w:r>
          </w:p>
        </w:tc>
        <w:tc>
          <w:tcPr>
            <w:tcW w:w="1634" w:type="dxa"/>
            <w:shd w:val="clear" w:color="auto" w:fill="auto"/>
          </w:tcPr>
          <w:p w14:paraId="06049B42" w14:textId="0AFA171E" w:rsidR="00D2356D" w:rsidRPr="00344BC7" w:rsidRDefault="00D2356D" w:rsidP="00632A19">
            <w:pPr>
              <w:jc w:val="right"/>
              <w:rPr>
                <w:bCs/>
                <w:sz w:val="20"/>
                <w:szCs w:val="20"/>
              </w:rPr>
            </w:pPr>
            <w:r w:rsidRPr="00344BC7">
              <w:rPr>
                <w:sz w:val="20"/>
                <w:szCs w:val="20"/>
              </w:rPr>
              <w:t>154,23</w:t>
            </w:r>
          </w:p>
        </w:tc>
        <w:tc>
          <w:tcPr>
            <w:tcW w:w="1338" w:type="dxa"/>
          </w:tcPr>
          <w:p w14:paraId="79C4F0A4" w14:textId="37559757" w:rsidR="00D2356D" w:rsidRPr="00344BC7" w:rsidRDefault="00D2356D" w:rsidP="00632A19">
            <w:pPr>
              <w:jc w:val="right"/>
              <w:rPr>
                <w:bCs/>
                <w:sz w:val="20"/>
                <w:szCs w:val="20"/>
              </w:rPr>
            </w:pPr>
            <w:r w:rsidRPr="00344BC7">
              <w:rPr>
                <w:sz w:val="20"/>
                <w:szCs w:val="20"/>
              </w:rPr>
              <w:t>-</w:t>
            </w:r>
          </w:p>
        </w:tc>
      </w:tr>
      <w:tr w:rsidR="00D2356D" w:rsidRPr="00344BC7" w14:paraId="7DA55C42" w14:textId="77777777" w:rsidTr="00514E89">
        <w:tc>
          <w:tcPr>
            <w:tcW w:w="4732" w:type="dxa"/>
            <w:shd w:val="clear" w:color="auto" w:fill="auto"/>
          </w:tcPr>
          <w:p w14:paraId="68DD605F" w14:textId="77777777" w:rsidR="00D2356D" w:rsidRPr="00344BC7" w:rsidRDefault="00D2356D" w:rsidP="00D2356D">
            <w:pPr>
              <w:tabs>
                <w:tab w:val="left" w:pos="360"/>
              </w:tabs>
              <w:jc w:val="both"/>
              <w:rPr>
                <w:b/>
                <w:sz w:val="20"/>
                <w:szCs w:val="20"/>
              </w:rPr>
            </w:pPr>
            <w:r w:rsidRPr="00344BC7">
              <w:rPr>
                <w:b/>
                <w:sz w:val="20"/>
                <w:szCs w:val="20"/>
              </w:rPr>
              <w:t>Obveze</w:t>
            </w:r>
          </w:p>
        </w:tc>
        <w:tc>
          <w:tcPr>
            <w:tcW w:w="1476" w:type="dxa"/>
          </w:tcPr>
          <w:p w14:paraId="0FC71440" w14:textId="75407CBA" w:rsidR="00D2356D" w:rsidRPr="00344BC7" w:rsidRDefault="00D2356D" w:rsidP="00632A19">
            <w:pPr>
              <w:jc w:val="right"/>
              <w:rPr>
                <w:b/>
                <w:bCs/>
                <w:sz w:val="20"/>
                <w:szCs w:val="20"/>
              </w:rPr>
            </w:pPr>
            <w:r w:rsidRPr="00344BC7">
              <w:rPr>
                <w:b/>
                <w:bCs/>
                <w:sz w:val="20"/>
                <w:szCs w:val="20"/>
              </w:rPr>
              <w:t>15.533,83</w:t>
            </w:r>
          </w:p>
        </w:tc>
        <w:tc>
          <w:tcPr>
            <w:tcW w:w="1634" w:type="dxa"/>
            <w:shd w:val="clear" w:color="auto" w:fill="auto"/>
          </w:tcPr>
          <w:p w14:paraId="636098C4" w14:textId="3A30D255" w:rsidR="00D2356D" w:rsidRPr="00344BC7" w:rsidRDefault="00D2356D" w:rsidP="00632A19">
            <w:pPr>
              <w:jc w:val="right"/>
              <w:rPr>
                <w:b/>
                <w:bCs/>
                <w:sz w:val="20"/>
                <w:szCs w:val="20"/>
              </w:rPr>
            </w:pPr>
            <w:r w:rsidRPr="00344BC7">
              <w:rPr>
                <w:b/>
                <w:bCs/>
                <w:sz w:val="20"/>
                <w:szCs w:val="20"/>
              </w:rPr>
              <w:t>14.110,19</w:t>
            </w:r>
          </w:p>
        </w:tc>
        <w:tc>
          <w:tcPr>
            <w:tcW w:w="1338" w:type="dxa"/>
          </w:tcPr>
          <w:p w14:paraId="0BD175EA" w14:textId="26A70095" w:rsidR="00D2356D" w:rsidRPr="00344BC7" w:rsidRDefault="00D2356D" w:rsidP="00632A19">
            <w:pPr>
              <w:jc w:val="right"/>
              <w:rPr>
                <w:b/>
                <w:bCs/>
                <w:sz w:val="20"/>
                <w:szCs w:val="20"/>
              </w:rPr>
            </w:pPr>
            <w:r w:rsidRPr="00344BC7">
              <w:rPr>
                <w:b/>
                <w:bCs/>
                <w:sz w:val="20"/>
                <w:szCs w:val="20"/>
              </w:rPr>
              <w:t>90,8</w:t>
            </w:r>
          </w:p>
        </w:tc>
      </w:tr>
      <w:tr w:rsidR="00AD58AA" w:rsidRPr="00344BC7" w14:paraId="44B46CC4" w14:textId="77777777" w:rsidTr="00514E89">
        <w:tc>
          <w:tcPr>
            <w:tcW w:w="4732" w:type="dxa"/>
            <w:shd w:val="clear" w:color="auto" w:fill="auto"/>
          </w:tcPr>
          <w:p w14:paraId="4BD15067" w14:textId="77777777" w:rsidR="00AD58AA" w:rsidRPr="00344BC7" w:rsidRDefault="00AD58AA" w:rsidP="00347468">
            <w:pPr>
              <w:jc w:val="both"/>
              <w:rPr>
                <w:sz w:val="20"/>
                <w:szCs w:val="20"/>
              </w:rPr>
            </w:pPr>
            <w:r w:rsidRPr="00344BC7">
              <w:rPr>
                <w:sz w:val="20"/>
                <w:szCs w:val="20"/>
              </w:rPr>
              <w:t>Vlastiti izvori iz proračuna</w:t>
            </w:r>
          </w:p>
        </w:tc>
        <w:tc>
          <w:tcPr>
            <w:tcW w:w="1476" w:type="dxa"/>
          </w:tcPr>
          <w:p w14:paraId="38066625" w14:textId="77777777" w:rsidR="00AD58AA" w:rsidRPr="00344BC7" w:rsidRDefault="00AD58AA" w:rsidP="00632A19">
            <w:pPr>
              <w:jc w:val="right"/>
              <w:rPr>
                <w:sz w:val="20"/>
                <w:szCs w:val="20"/>
              </w:rPr>
            </w:pPr>
            <w:r w:rsidRPr="00344BC7">
              <w:rPr>
                <w:sz w:val="20"/>
                <w:szCs w:val="20"/>
              </w:rPr>
              <w:t>346.026,89</w:t>
            </w:r>
          </w:p>
        </w:tc>
        <w:tc>
          <w:tcPr>
            <w:tcW w:w="1634" w:type="dxa"/>
            <w:shd w:val="clear" w:color="auto" w:fill="auto"/>
          </w:tcPr>
          <w:p w14:paraId="68897467" w14:textId="77777777" w:rsidR="00AD58AA" w:rsidRPr="00344BC7" w:rsidRDefault="00AD58AA" w:rsidP="00632A19">
            <w:pPr>
              <w:jc w:val="right"/>
              <w:rPr>
                <w:sz w:val="20"/>
                <w:szCs w:val="20"/>
              </w:rPr>
            </w:pPr>
            <w:r w:rsidRPr="00344BC7">
              <w:rPr>
                <w:sz w:val="20"/>
                <w:szCs w:val="20"/>
              </w:rPr>
              <w:t>346.888,97</w:t>
            </w:r>
          </w:p>
        </w:tc>
        <w:tc>
          <w:tcPr>
            <w:tcW w:w="1338" w:type="dxa"/>
          </w:tcPr>
          <w:p w14:paraId="7C4380E3" w14:textId="77777777" w:rsidR="00AD58AA" w:rsidRPr="00344BC7" w:rsidRDefault="00AD58AA" w:rsidP="00632A19">
            <w:pPr>
              <w:jc w:val="right"/>
              <w:rPr>
                <w:sz w:val="20"/>
                <w:szCs w:val="20"/>
              </w:rPr>
            </w:pPr>
            <w:r w:rsidRPr="00344BC7">
              <w:rPr>
                <w:sz w:val="20"/>
                <w:szCs w:val="20"/>
              </w:rPr>
              <w:t>100,2</w:t>
            </w:r>
          </w:p>
        </w:tc>
      </w:tr>
      <w:tr w:rsidR="00632A19" w:rsidRPr="00344BC7" w14:paraId="69B7DC1A" w14:textId="77777777" w:rsidTr="00514E89">
        <w:tc>
          <w:tcPr>
            <w:tcW w:w="4732" w:type="dxa"/>
            <w:shd w:val="clear" w:color="auto" w:fill="auto"/>
          </w:tcPr>
          <w:p w14:paraId="58BD6F0C" w14:textId="77777777" w:rsidR="00632A19" w:rsidRPr="00344BC7" w:rsidRDefault="00632A19" w:rsidP="00632A19">
            <w:pPr>
              <w:jc w:val="both"/>
              <w:rPr>
                <w:sz w:val="20"/>
                <w:szCs w:val="20"/>
              </w:rPr>
            </w:pPr>
            <w:r w:rsidRPr="00344BC7">
              <w:rPr>
                <w:sz w:val="20"/>
                <w:szCs w:val="20"/>
              </w:rPr>
              <w:t>Višak/manjak prihoda</w:t>
            </w:r>
          </w:p>
        </w:tc>
        <w:tc>
          <w:tcPr>
            <w:tcW w:w="1476" w:type="dxa"/>
          </w:tcPr>
          <w:p w14:paraId="765A0303" w14:textId="08E59369" w:rsidR="00632A19" w:rsidRPr="00344BC7" w:rsidRDefault="00632A19" w:rsidP="00632A19">
            <w:pPr>
              <w:jc w:val="right"/>
              <w:rPr>
                <w:sz w:val="20"/>
                <w:szCs w:val="20"/>
              </w:rPr>
            </w:pPr>
            <w:r w:rsidRPr="00344BC7">
              <w:rPr>
                <w:sz w:val="20"/>
                <w:szCs w:val="20"/>
              </w:rPr>
              <w:t>-6.791,32</w:t>
            </w:r>
          </w:p>
        </w:tc>
        <w:tc>
          <w:tcPr>
            <w:tcW w:w="1634" w:type="dxa"/>
            <w:shd w:val="clear" w:color="auto" w:fill="auto"/>
          </w:tcPr>
          <w:p w14:paraId="76327A41" w14:textId="6A54CF20" w:rsidR="00632A19" w:rsidRPr="00344BC7" w:rsidRDefault="00632A19" w:rsidP="00632A19">
            <w:pPr>
              <w:jc w:val="right"/>
              <w:rPr>
                <w:sz w:val="20"/>
                <w:szCs w:val="20"/>
              </w:rPr>
            </w:pPr>
            <w:r w:rsidRPr="00344BC7">
              <w:rPr>
                <w:sz w:val="20"/>
                <w:szCs w:val="20"/>
              </w:rPr>
              <w:t>-7.616,97</w:t>
            </w:r>
          </w:p>
        </w:tc>
        <w:tc>
          <w:tcPr>
            <w:tcW w:w="1338" w:type="dxa"/>
          </w:tcPr>
          <w:p w14:paraId="09890CAC" w14:textId="6D5C4C3C" w:rsidR="00632A19" w:rsidRPr="00344BC7" w:rsidRDefault="00632A19" w:rsidP="00632A19">
            <w:pPr>
              <w:jc w:val="right"/>
              <w:rPr>
                <w:sz w:val="20"/>
                <w:szCs w:val="20"/>
              </w:rPr>
            </w:pPr>
            <w:r w:rsidRPr="00344BC7">
              <w:rPr>
                <w:sz w:val="20"/>
                <w:szCs w:val="20"/>
              </w:rPr>
              <w:t>112,2</w:t>
            </w:r>
          </w:p>
        </w:tc>
      </w:tr>
      <w:tr w:rsidR="00632A19" w:rsidRPr="00344BC7" w14:paraId="51A32026" w14:textId="77777777" w:rsidTr="00514E89">
        <w:tc>
          <w:tcPr>
            <w:tcW w:w="4732" w:type="dxa"/>
            <w:shd w:val="clear" w:color="auto" w:fill="auto"/>
          </w:tcPr>
          <w:p w14:paraId="4D83C56F" w14:textId="77777777" w:rsidR="00632A19" w:rsidRPr="00344BC7" w:rsidRDefault="00632A19" w:rsidP="00632A19">
            <w:pPr>
              <w:tabs>
                <w:tab w:val="left" w:pos="360"/>
              </w:tabs>
              <w:jc w:val="both"/>
              <w:rPr>
                <w:b/>
                <w:sz w:val="20"/>
                <w:szCs w:val="20"/>
              </w:rPr>
            </w:pPr>
            <w:r w:rsidRPr="00344BC7">
              <w:rPr>
                <w:b/>
                <w:sz w:val="20"/>
                <w:szCs w:val="20"/>
              </w:rPr>
              <w:t>Vlastiti izvori</w:t>
            </w:r>
          </w:p>
        </w:tc>
        <w:tc>
          <w:tcPr>
            <w:tcW w:w="1476" w:type="dxa"/>
          </w:tcPr>
          <w:p w14:paraId="533A140E" w14:textId="29D167A0" w:rsidR="00632A19" w:rsidRPr="00344BC7" w:rsidRDefault="00632A19" w:rsidP="00632A19">
            <w:pPr>
              <w:jc w:val="right"/>
              <w:rPr>
                <w:b/>
                <w:bCs/>
                <w:sz w:val="20"/>
                <w:szCs w:val="20"/>
              </w:rPr>
            </w:pPr>
            <w:r w:rsidRPr="00344BC7">
              <w:rPr>
                <w:b/>
                <w:bCs/>
                <w:sz w:val="20"/>
                <w:szCs w:val="20"/>
              </w:rPr>
              <w:t>339.235,57</w:t>
            </w:r>
          </w:p>
        </w:tc>
        <w:tc>
          <w:tcPr>
            <w:tcW w:w="1634" w:type="dxa"/>
            <w:shd w:val="clear" w:color="auto" w:fill="auto"/>
          </w:tcPr>
          <w:p w14:paraId="76204A07" w14:textId="34D82CBC" w:rsidR="00632A19" w:rsidRPr="00344BC7" w:rsidRDefault="00632A19" w:rsidP="00632A19">
            <w:pPr>
              <w:jc w:val="right"/>
              <w:rPr>
                <w:b/>
                <w:bCs/>
                <w:sz w:val="20"/>
                <w:szCs w:val="20"/>
              </w:rPr>
            </w:pPr>
            <w:r w:rsidRPr="00344BC7">
              <w:rPr>
                <w:b/>
                <w:bCs/>
                <w:sz w:val="20"/>
                <w:szCs w:val="20"/>
              </w:rPr>
              <w:t>339.377,00</w:t>
            </w:r>
          </w:p>
        </w:tc>
        <w:tc>
          <w:tcPr>
            <w:tcW w:w="1338" w:type="dxa"/>
          </w:tcPr>
          <w:p w14:paraId="4FC4F2CA" w14:textId="76877340" w:rsidR="00632A19" w:rsidRPr="00344BC7" w:rsidRDefault="00632A19" w:rsidP="00632A19">
            <w:pPr>
              <w:jc w:val="right"/>
              <w:rPr>
                <w:b/>
                <w:bCs/>
                <w:sz w:val="20"/>
                <w:szCs w:val="20"/>
              </w:rPr>
            </w:pPr>
            <w:r w:rsidRPr="00344BC7">
              <w:rPr>
                <w:b/>
                <w:bCs/>
                <w:sz w:val="20"/>
                <w:szCs w:val="20"/>
              </w:rPr>
              <w:t>100,0</w:t>
            </w:r>
          </w:p>
        </w:tc>
      </w:tr>
      <w:tr w:rsidR="00AD58AA" w:rsidRPr="00344BC7" w14:paraId="6251BE09" w14:textId="77777777" w:rsidTr="00514E89">
        <w:tc>
          <w:tcPr>
            <w:tcW w:w="4732" w:type="dxa"/>
            <w:shd w:val="clear" w:color="auto" w:fill="auto"/>
          </w:tcPr>
          <w:p w14:paraId="7A1539CD" w14:textId="77777777" w:rsidR="00AD58AA" w:rsidRPr="00344BC7" w:rsidRDefault="00AD58AA" w:rsidP="00347468">
            <w:pPr>
              <w:tabs>
                <w:tab w:val="left" w:pos="360"/>
              </w:tabs>
              <w:jc w:val="both"/>
              <w:rPr>
                <w:b/>
                <w:sz w:val="20"/>
                <w:szCs w:val="20"/>
              </w:rPr>
            </w:pPr>
            <w:r w:rsidRPr="00344BC7">
              <w:rPr>
                <w:b/>
                <w:sz w:val="20"/>
                <w:szCs w:val="20"/>
              </w:rPr>
              <w:t>Obveze i vlastiti izvori</w:t>
            </w:r>
          </w:p>
        </w:tc>
        <w:tc>
          <w:tcPr>
            <w:tcW w:w="1476" w:type="dxa"/>
          </w:tcPr>
          <w:p w14:paraId="1B57722C" w14:textId="77777777" w:rsidR="00AD58AA" w:rsidRPr="00344BC7" w:rsidRDefault="00AD58AA" w:rsidP="00632A19">
            <w:pPr>
              <w:jc w:val="right"/>
              <w:rPr>
                <w:b/>
                <w:sz w:val="20"/>
                <w:szCs w:val="20"/>
              </w:rPr>
            </w:pPr>
            <w:r w:rsidRPr="00344BC7">
              <w:rPr>
                <w:b/>
                <w:sz w:val="20"/>
                <w:szCs w:val="20"/>
              </w:rPr>
              <w:t>354.769,40</w:t>
            </w:r>
          </w:p>
        </w:tc>
        <w:tc>
          <w:tcPr>
            <w:tcW w:w="1634" w:type="dxa"/>
            <w:shd w:val="clear" w:color="auto" w:fill="auto"/>
          </w:tcPr>
          <w:p w14:paraId="04C3CFD7" w14:textId="77777777" w:rsidR="00AD58AA" w:rsidRPr="00344BC7" w:rsidRDefault="00AD58AA" w:rsidP="00632A19">
            <w:pPr>
              <w:jc w:val="right"/>
              <w:rPr>
                <w:b/>
                <w:sz w:val="20"/>
                <w:szCs w:val="20"/>
              </w:rPr>
            </w:pPr>
            <w:r w:rsidRPr="00344BC7">
              <w:rPr>
                <w:b/>
                <w:sz w:val="20"/>
                <w:szCs w:val="20"/>
              </w:rPr>
              <w:t>353.487,19</w:t>
            </w:r>
          </w:p>
        </w:tc>
        <w:tc>
          <w:tcPr>
            <w:tcW w:w="1338" w:type="dxa"/>
          </w:tcPr>
          <w:p w14:paraId="67091404" w14:textId="77777777" w:rsidR="00AD58AA" w:rsidRPr="00344BC7" w:rsidRDefault="00AD58AA" w:rsidP="00632A19">
            <w:pPr>
              <w:jc w:val="right"/>
              <w:rPr>
                <w:b/>
                <w:sz w:val="20"/>
                <w:szCs w:val="20"/>
              </w:rPr>
            </w:pPr>
            <w:r w:rsidRPr="00344BC7">
              <w:rPr>
                <w:b/>
                <w:sz w:val="20"/>
                <w:szCs w:val="20"/>
              </w:rPr>
              <w:t>99,6</w:t>
            </w:r>
          </w:p>
        </w:tc>
      </w:tr>
    </w:tbl>
    <w:p w14:paraId="74F43E47" w14:textId="77777777" w:rsidR="003A0105" w:rsidRPr="00344BC7" w:rsidRDefault="003A0105" w:rsidP="003A0105">
      <w:pPr>
        <w:rPr>
          <w:sz w:val="20"/>
          <w:szCs w:val="20"/>
        </w:rPr>
      </w:pPr>
    </w:p>
    <w:p w14:paraId="59060FEB" w14:textId="77777777" w:rsidR="003A0105" w:rsidRPr="00344BC7" w:rsidRDefault="003A0105" w:rsidP="003A0105">
      <w:pPr>
        <w:ind w:firstLine="900"/>
        <w:rPr>
          <w:sz w:val="20"/>
          <w:szCs w:val="20"/>
        </w:rPr>
      </w:pPr>
    </w:p>
    <w:p w14:paraId="589D9A63" w14:textId="77777777" w:rsidR="003A0105" w:rsidRPr="00344BC7" w:rsidRDefault="00B65936" w:rsidP="00B65936">
      <w:pPr>
        <w:ind w:firstLine="900"/>
        <w:rPr>
          <w:sz w:val="20"/>
          <w:szCs w:val="20"/>
        </w:rPr>
      </w:pPr>
      <w:r w:rsidRPr="00344BC7">
        <w:rPr>
          <w:sz w:val="20"/>
          <w:szCs w:val="20"/>
        </w:rPr>
        <w:t xml:space="preserve">Tokom godine nabavljeno je </w:t>
      </w:r>
      <w:r w:rsidR="005916FB" w:rsidRPr="00344BC7">
        <w:rPr>
          <w:sz w:val="20"/>
          <w:szCs w:val="20"/>
        </w:rPr>
        <w:t>novo</w:t>
      </w:r>
      <w:r w:rsidRPr="00344BC7">
        <w:rPr>
          <w:sz w:val="20"/>
          <w:szCs w:val="20"/>
        </w:rPr>
        <w:t xml:space="preserve"> računalo</w:t>
      </w:r>
      <w:r w:rsidR="005916FB" w:rsidRPr="00344BC7">
        <w:rPr>
          <w:sz w:val="20"/>
          <w:szCs w:val="20"/>
        </w:rPr>
        <w:t xml:space="preserve"> i printer</w:t>
      </w:r>
      <w:r w:rsidR="00AF7285" w:rsidRPr="00344BC7">
        <w:rPr>
          <w:sz w:val="20"/>
          <w:szCs w:val="20"/>
        </w:rPr>
        <w:t>,</w:t>
      </w:r>
      <w:r w:rsidR="005916FB" w:rsidRPr="00344BC7">
        <w:rPr>
          <w:sz w:val="20"/>
          <w:szCs w:val="20"/>
        </w:rPr>
        <w:t xml:space="preserve"> preko programa ministarstva</w:t>
      </w:r>
      <w:r w:rsidR="00AF7285" w:rsidRPr="00344BC7">
        <w:rPr>
          <w:sz w:val="20"/>
          <w:szCs w:val="20"/>
        </w:rPr>
        <w:t>, i</w:t>
      </w:r>
      <w:r w:rsidRPr="00344BC7">
        <w:rPr>
          <w:sz w:val="20"/>
          <w:szCs w:val="20"/>
        </w:rPr>
        <w:t xml:space="preserve"> nekoliko </w:t>
      </w:r>
      <w:r w:rsidR="00AF7285" w:rsidRPr="00344BC7">
        <w:rPr>
          <w:sz w:val="20"/>
          <w:szCs w:val="20"/>
        </w:rPr>
        <w:t xml:space="preserve">komada uredskog namještaja. Uz to su temeljem odluke popisne komisije likvidirana zastarjela računala, dotrajali uredski namještaj i ostala oprema (kao npr. </w:t>
      </w:r>
      <w:proofErr w:type="spellStart"/>
      <w:r w:rsidR="00AF7285" w:rsidRPr="00344BC7">
        <w:rPr>
          <w:sz w:val="20"/>
          <w:szCs w:val="20"/>
        </w:rPr>
        <w:t>ovlaživači</w:t>
      </w:r>
      <w:proofErr w:type="spellEnd"/>
      <w:r w:rsidR="00AF7285" w:rsidRPr="00344BC7">
        <w:rPr>
          <w:sz w:val="20"/>
          <w:szCs w:val="20"/>
        </w:rPr>
        <w:t xml:space="preserve"> i skupljači vlage i motorna kosilica)</w:t>
      </w:r>
    </w:p>
    <w:p w14:paraId="3138B703" w14:textId="77777777" w:rsidR="00116E06" w:rsidRPr="00344BC7" w:rsidRDefault="003C66D0" w:rsidP="00B65936">
      <w:pPr>
        <w:ind w:firstLine="900"/>
        <w:rPr>
          <w:sz w:val="20"/>
          <w:szCs w:val="20"/>
        </w:rPr>
      </w:pPr>
      <w:r w:rsidRPr="00344BC7">
        <w:rPr>
          <w:sz w:val="20"/>
          <w:szCs w:val="20"/>
        </w:rPr>
        <w:t xml:space="preserve">Od sitnog </w:t>
      </w:r>
      <w:proofErr w:type="spellStart"/>
      <w:r w:rsidRPr="00344BC7">
        <w:rPr>
          <w:sz w:val="20"/>
          <w:szCs w:val="20"/>
        </w:rPr>
        <w:t>invetara</w:t>
      </w:r>
      <w:proofErr w:type="spellEnd"/>
      <w:r w:rsidRPr="00344BC7">
        <w:rPr>
          <w:sz w:val="20"/>
          <w:szCs w:val="20"/>
        </w:rPr>
        <w:t xml:space="preserve"> nabavljeni su slikarski štafelaji i metalni stalci za potrebe raznih manifestacija i usisivač radi održavanja prostorija, dok su odlukom komisije likvidirane dotrajale police,stolice,kosilica i 2 Samsung mobitela, gdje je kod jednog komisija nadodala primjedbu da je razbijen.</w:t>
      </w:r>
    </w:p>
    <w:p w14:paraId="67D1A8E8" w14:textId="0CB72FEB" w:rsidR="00A05FC9" w:rsidRPr="00344BC7" w:rsidRDefault="00DD615A" w:rsidP="00A05FC9">
      <w:pPr>
        <w:ind w:firstLine="900"/>
        <w:rPr>
          <w:sz w:val="20"/>
          <w:szCs w:val="20"/>
        </w:rPr>
      </w:pPr>
      <w:r w:rsidRPr="00344BC7">
        <w:rPr>
          <w:sz w:val="20"/>
          <w:szCs w:val="20"/>
        </w:rPr>
        <w:t>Potraživanje na početku godine odnosi se na refundaciju za bolovanje na teret HZZO koja je uplaćena, dok potraživanja za prihode poslovanja na ulaznicu i stručno vodstvo koje nije još naplaćeno ali dospjelo manje od godinu dana.</w:t>
      </w:r>
      <w:r w:rsidR="00AB209D">
        <w:rPr>
          <w:sz w:val="20"/>
          <w:szCs w:val="20"/>
        </w:rPr>
        <w:t xml:space="preserve"> Napomena za potraživanje rashoda poslovanja: dok je prihod za usluge muzeja su ispravno knjiženi, obračunati na razredu 1 i 9 su krivo knjiženi tokom godine. Temeljnicom sa 31.12.2023. se promet dotičnih konta </w:t>
      </w:r>
      <w:r w:rsidR="00DC72FF">
        <w:rPr>
          <w:sz w:val="20"/>
          <w:szCs w:val="20"/>
        </w:rPr>
        <w:t>prepravio na ispravne za obračunate prihode, kojim tokom kvartalnih i polugodišnjeg izvještaja su krivo knjiženi i prikazani u PR-RAS obrascu pod šifrom 9661 dok nisu bili naplaćeni.</w:t>
      </w:r>
      <w:bookmarkStart w:id="0" w:name="_GoBack"/>
      <w:bookmarkEnd w:id="0"/>
    </w:p>
    <w:p w14:paraId="7149BCAC" w14:textId="77777777" w:rsidR="003A0105" w:rsidRPr="00344BC7" w:rsidRDefault="003A0105" w:rsidP="003A0105">
      <w:pPr>
        <w:ind w:firstLine="900"/>
        <w:rPr>
          <w:sz w:val="20"/>
          <w:szCs w:val="20"/>
        </w:rPr>
      </w:pPr>
      <w:r w:rsidRPr="00344BC7">
        <w:rPr>
          <w:sz w:val="20"/>
          <w:szCs w:val="20"/>
        </w:rPr>
        <w:t>Obveze se odnose na plaću za prosinac koja se isplaćuje u siječnju iduće godine + materijal trošak prijevoza, a ostale na račune koji su stigli prije zaključnog knjiženja</w:t>
      </w:r>
      <w:r w:rsidR="00591F9E" w:rsidRPr="00344BC7">
        <w:rPr>
          <w:sz w:val="20"/>
          <w:szCs w:val="20"/>
        </w:rPr>
        <w:t xml:space="preserve"> 2023</w:t>
      </w:r>
      <w:r w:rsidR="006F54EF" w:rsidRPr="00344BC7">
        <w:rPr>
          <w:sz w:val="20"/>
          <w:szCs w:val="20"/>
        </w:rPr>
        <w:t>. godine, a iznos je manji jer nisu nastali poslovni događaji velikog iznosa kao u prethodnom razdoblju.</w:t>
      </w:r>
    </w:p>
    <w:p w14:paraId="169570B6" w14:textId="41E6A256" w:rsidR="00D2356D" w:rsidRPr="00344BC7" w:rsidRDefault="00D2356D" w:rsidP="003A0105">
      <w:pPr>
        <w:ind w:firstLine="900"/>
        <w:rPr>
          <w:sz w:val="20"/>
          <w:szCs w:val="20"/>
        </w:rPr>
      </w:pPr>
      <w:r w:rsidRPr="00344BC7">
        <w:rPr>
          <w:sz w:val="20"/>
          <w:szCs w:val="20"/>
        </w:rPr>
        <w:t xml:space="preserve">Prihod budućeg razdoblja se odnosi na više refundirane troškove, nego što su ostvareni, </w:t>
      </w:r>
      <w:proofErr w:type="spellStart"/>
      <w:r w:rsidRPr="00344BC7">
        <w:rPr>
          <w:sz w:val="20"/>
          <w:szCs w:val="20"/>
        </w:rPr>
        <w:t>proizlaše</w:t>
      </w:r>
      <w:proofErr w:type="spellEnd"/>
      <w:r w:rsidRPr="00344BC7">
        <w:rPr>
          <w:sz w:val="20"/>
          <w:szCs w:val="20"/>
        </w:rPr>
        <w:t xml:space="preserve"> iz ljudske greške koji će se priznati u prihode kod refundiranje troškova u 2024. godini.</w:t>
      </w:r>
    </w:p>
    <w:p w14:paraId="34D7FE02" w14:textId="2E04E796" w:rsidR="003A0105" w:rsidRDefault="00632A19" w:rsidP="00632A19">
      <w:pPr>
        <w:ind w:firstLine="900"/>
        <w:rPr>
          <w:sz w:val="20"/>
          <w:szCs w:val="20"/>
        </w:rPr>
      </w:pPr>
      <w:r w:rsidRPr="00344BC7">
        <w:rPr>
          <w:sz w:val="20"/>
          <w:szCs w:val="20"/>
        </w:rPr>
        <w:t xml:space="preserve">Kod preračuna preračunavanja u euro, vlastiti izvori su umanjeni za 0,01 temeljem usklađenja analitike obveza i </w:t>
      </w:r>
      <w:r w:rsidR="00257A2E" w:rsidRPr="00344BC7">
        <w:rPr>
          <w:sz w:val="20"/>
          <w:szCs w:val="20"/>
        </w:rPr>
        <w:t>imovine</w:t>
      </w:r>
      <w:r w:rsidRPr="00344BC7">
        <w:rPr>
          <w:sz w:val="20"/>
          <w:szCs w:val="20"/>
        </w:rPr>
        <w:t>, dok kod usporedbe ostatka analitike nisu uočena odstupanja zbog zaokruživanja.</w:t>
      </w:r>
    </w:p>
    <w:p w14:paraId="4A0A0D9F" w14:textId="77777777" w:rsidR="00344BC7" w:rsidRDefault="00344BC7" w:rsidP="00632A19">
      <w:pPr>
        <w:ind w:firstLine="900"/>
        <w:rPr>
          <w:sz w:val="20"/>
          <w:szCs w:val="20"/>
        </w:rPr>
      </w:pPr>
    </w:p>
    <w:p w14:paraId="6AB6069C" w14:textId="77777777" w:rsidR="00DC72FF" w:rsidRPr="00344BC7" w:rsidRDefault="00DC72FF" w:rsidP="00632A19">
      <w:pPr>
        <w:ind w:firstLine="900"/>
        <w:rPr>
          <w:sz w:val="20"/>
          <w:szCs w:val="20"/>
        </w:rPr>
      </w:pPr>
    </w:p>
    <w:p w14:paraId="340F0AF7" w14:textId="2FCB9034" w:rsidR="003A0105" w:rsidRPr="00344BC7" w:rsidRDefault="003A0105" w:rsidP="00344BC7">
      <w:pPr>
        <w:pStyle w:val="Naslov2"/>
        <w:rPr>
          <w:rFonts w:ascii="Times New Roman" w:hAnsi="Times New Roman" w:cs="Times New Roman"/>
          <w:sz w:val="20"/>
          <w:szCs w:val="20"/>
        </w:rPr>
      </w:pPr>
      <w:r w:rsidRPr="00344BC7">
        <w:rPr>
          <w:rFonts w:ascii="Times New Roman" w:hAnsi="Times New Roman" w:cs="Times New Roman"/>
          <w:sz w:val="20"/>
          <w:szCs w:val="20"/>
        </w:rPr>
        <w:lastRenderedPageBreak/>
        <w:t>BILJEŠKE</w:t>
      </w:r>
      <w:r w:rsidR="00344BC7">
        <w:rPr>
          <w:rFonts w:ascii="Times New Roman" w:hAnsi="Times New Roman" w:cs="Times New Roman"/>
          <w:sz w:val="20"/>
          <w:szCs w:val="20"/>
        </w:rPr>
        <w:t xml:space="preserve"> </w:t>
      </w:r>
      <w:r w:rsidRPr="00344BC7">
        <w:rPr>
          <w:rFonts w:ascii="Times New Roman" w:hAnsi="Times New Roman" w:cs="Times New Roman"/>
          <w:sz w:val="20"/>
          <w:szCs w:val="20"/>
        </w:rPr>
        <w:t>UZ  IZVJEŠTAJ O OBVEZAMA</w:t>
      </w:r>
    </w:p>
    <w:p w14:paraId="40247EBF" w14:textId="77777777" w:rsidR="003A0105" w:rsidRPr="00344BC7" w:rsidRDefault="003A0105" w:rsidP="003A0105">
      <w:pPr>
        <w:rPr>
          <w:sz w:val="20"/>
          <w:szCs w:val="20"/>
        </w:rPr>
      </w:pPr>
    </w:p>
    <w:p w14:paraId="531F3722" w14:textId="77777777" w:rsidR="003A0105" w:rsidRPr="00344BC7" w:rsidRDefault="00347468" w:rsidP="003A0105">
      <w:pPr>
        <w:jc w:val="both"/>
        <w:rPr>
          <w:sz w:val="20"/>
          <w:szCs w:val="20"/>
        </w:rPr>
      </w:pPr>
      <w:r w:rsidRPr="00344BC7">
        <w:rPr>
          <w:sz w:val="20"/>
          <w:szCs w:val="20"/>
        </w:rPr>
        <w:tab/>
        <w:t>Stanje obveza</w:t>
      </w:r>
      <w:r w:rsidR="003A0105" w:rsidRPr="00344BC7">
        <w:rPr>
          <w:sz w:val="20"/>
          <w:szCs w:val="20"/>
        </w:rPr>
        <w:t xml:space="preserve"> </w:t>
      </w:r>
      <w:r w:rsidR="00D83198" w:rsidRPr="00344BC7">
        <w:rPr>
          <w:sz w:val="20"/>
          <w:szCs w:val="20"/>
        </w:rPr>
        <w:t xml:space="preserve">Gradskog muzeja </w:t>
      </w:r>
      <w:r w:rsidR="003A0105" w:rsidRPr="00344BC7">
        <w:rPr>
          <w:sz w:val="20"/>
          <w:szCs w:val="20"/>
        </w:rPr>
        <w:t>Županja  u</w:t>
      </w:r>
      <w:r w:rsidR="002F0327" w:rsidRPr="00344BC7">
        <w:rPr>
          <w:sz w:val="20"/>
          <w:szCs w:val="20"/>
        </w:rPr>
        <w:t xml:space="preserve"> razdoblju</w:t>
      </w:r>
      <w:r w:rsidR="003A0105" w:rsidRPr="00344BC7">
        <w:rPr>
          <w:sz w:val="20"/>
          <w:szCs w:val="20"/>
        </w:rPr>
        <w:t xml:space="preserve"> </w:t>
      </w:r>
      <w:r w:rsidR="00D83198" w:rsidRPr="00344BC7">
        <w:rPr>
          <w:sz w:val="20"/>
          <w:szCs w:val="20"/>
        </w:rPr>
        <w:t xml:space="preserve">od 01.01.2023. do 31.12.2023. godine </w:t>
      </w:r>
      <w:r w:rsidR="003A0105" w:rsidRPr="00344BC7">
        <w:rPr>
          <w:sz w:val="20"/>
          <w:szCs w:val="20"/>
        </w:rPr>
        <w:t>prikazano je u  slijedećoj  tablici</w:t>
      </w:r>
    </w:p>
    <w:p w14:paraId="6F92F3B5" w14:textId="77777777" w:rsidR="003A0105" w:rsidRPr="00344BC7" w:rsidRDefault="003A0105" w:rsidP="003A0105">
      <w:pPr>
        <w:jc w:val="both"/>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9"/>
        <w:gridCol w:w="2487"/>
      </w:tblGrid>
      <w:tr w:rsidR="003A0105" w:rsidRPr="00344BC7" w14:paraId="37AF4725" w14:textId="77777777" w:rsidTr="00344BC7">
        <w:trPr>
          <w:jc w:val="center"/>
        </w:trPr>
        <w:tc>
          <w:tcPr>
            <w:tcW w:w="6029" w:type="dxa"/>
            <w:vAlign w:val="center"/>
          </w:tcPr>
          <w:p w14:paraId="739C5738" w14:textId="77777777" w:rsidR="003A0105" w:rsidRPr="00344BC7" w:rsidRDefault="003A0105" w:rsidP="00192678">
            <w:pPr>
              <w:jc w:val="center"/>
              <w:rPr>
                <w:b/>
                <w:bCs/>
                <w:sz w:val="20"/>
                <w:szCs w:val="20"/>
              </w:rPr>
            </w:pPr>
            <w:r w:rsidRPr="00344BC7">
              <w:rPr>
                <w:b/>
                <w:bCs/>
                <w:sz w:val="20"/>
                <w:szCs w:val="20"/>
              </w:rPr>
              <w:t>OPIS OBVEZE</w:t>
            </w:r>
          </w:p>
        </w:tc>
        <w:tc>
          <w:tcPr>
            <w:tcW w:w="2487" w:type="dxa"/>
            <w:vAlign w:val="center"/>
          </w:tcPr>
          <w:p w14:paraId="4FCAF1E9" w14:textId="77777777" w:rsidR="003A0105" w:rsidRPr="00344BC7" w:rsidRDefault="003A0105" w:rsidP="00192678">
            <w:pPr>
              <w:pStyle w:val="Naslov7"/>
              <w:jc w:val="center"/>
              <w:rPr>
                <w:rFonts w:ascii="Times New Roman" w:hAnsi="Times New Roman" w:cs="Times New Roman"/>
                <w:sz w:val="20"/>
                <w:szCs w:val="20"/>
              </w:rPr>
            </w:pPr>
            <w:r w:rsidRPr="00344BC7">
              <w:rPr>
                <w:rFonts w:ascii="Times New Roman" w:hAnsi="Times New Roman" w:cs="Times New Roman"/>
                <w:sz w:val="20"/>
                <w:szCs w:val="20"/>
              </w:rPr>
              <w:t>IZNOS</w:t>
            </w:r>
          </w:p>
        </w:tc>
      </w:tr>
      <w:tr w:rsidR="00D83198" w:rsidRPr="00344BC7" w14:paraId="1653770B" w14:textId="77777777" w:rsidTr="00344BC7">
        <w:trPr>
          <w:jc w:val="center"/>
        </w:trPr>
        <w:tc>
          <w:tcPr>
            <w:tcW w:w="6029" w:type="dxa"/>
          </w:tcPr>
          <w:p w14:paraId="5A492590" w14:textId="77777777" w:rsidR="00D83198" w:rsidRPr="00344BC7" w:rsidRDefault="00D83198" w:rsidP="00192678">
            <w:pPr>
              <w:rPr>
                <w:sz w:val="20"/>
                <w:szCs w:val="20"/>
              </w:rPr>
            </w:pPr>
            <w:r w:rsidRPr="00344BC7">
              <w:rPr>
                <w:sz w:val="20"/>
                <w:szCs w:val="20"/>
              </w:rPr>
              <w:t>Stanje obveza na dan 01.01.2023. godine</w:t>
            </w:r>
          </w:p>
        </w:tc>
        <w:tc>
          <w:tcPr>
            <w:tcW w:w="2487" w:type="dxa"/>
          </w:tcPr>
          <w:p w14:paraId="4332FE52" w14:textId="77777777" w:rsidR="00D83198" w:rsidRPr="00344BC7" w:rsidRDefault="00D83198" w:rsidP="000572A0">
            <w:pPr>
              <w:jc w:val="right"/>
              <w:rPr>
                <w:sz w:val="20"/>
                <w:szCs w:val="20"/>
              </w:rPr>
            </w:pPr>
            <w:r w:rsidRPr="00344BC7">
              <w:rPr>
                <w:sz w:val="20"/>
                <w:szCs w:val="20"/>
              </w:rPr>
              <w:t>15.533,83</w:t>
            </w:r>
          </w:p>
        </w:tc>
      </w:tr>
      <w:tr w:rsidR="00D83198" w:rsidRPr="00344BC7" w14:paraId="5A63280A" w14:textId="77777777" w:rsidTr="00344BC7">
        <w:trPr>
          <w:jc w:val="center"/>
        </w:trPr>
        <w:tc>
          <w:tcPr>
            <w:tcW w:w="6029" w:type="dxa"/>
          </w:tcPr>
          <w:p w14:paraId="1B0AA003" w14:textId="77777777" w:rsidR="00D83198" w:rsidRPr="00344BC7" w:rsidRDefault="00D83198" w:rsidP="00192678">
            <w:pPr>
              <w:rPr>
                <w:sz w:val="20"/>
                <w:szCs w:val="20"/>
              </w:rPr>
            </w:pPr>
            <w:r w:rsidRPr="00344BC7">
              <w:rPr>
                <w:sz w:val="20"/>
                <w:szCs w:val="20"/>
              </w:rPr>
              <w:t>Povećanje obveza u izvještajnom razdoblju</w:t>
            </w:r>
          </w:p>
        </w:tc>
        <w:tc>
          <w:tcPr>
            <w:tcW w:w="2487" w:type="dxa"/>
          </w:tcPr>
          <w:p w14:paraId="01A963B8" w14:textId="77777777" w:rsidR="00D83198" w:rsidRPr="00344BC7" w:rsidRDefault="00D83198" w:rsidP="000572A0">
            <w:pPr>
              <w:jc w:val="right"/>
              <w:rPr>
                <w:sz w:val="20"/>
                <w:szCs w:val="20"/>
              </w:rPr>
            </w:pPr>
            <w:r w:rsidRPr="00344BC7">
              <w:rPr>
                <w:sz w:val="20"/>
                <w:szCs w:val="20"/>
              </w:rPr>
              <w:t>195.456,91</w:t>
            </w:r>
          </w:p>
        </w:tc>
      </w:tr>
      <w:tr w:rsidR="003A0105" w:rsidRPr="00344BC7" w14:paraId="5DAA50D4" w14:textId="77777777" w:rsidTr="00344BC7">
        <w:trPr>
          <w:jc w:val="center"/>
        </w:trPr>
        <w:tc>
          <w:tcPr>
            <w:tcW w:w="6029" w:type="dxa"/>
          </w:tcPr>
          <w:p w14:paraId="2903E931" w14:textId="77777777" w:rsidR="003A0105" w:rsidRPr="00344BC7" w:rsidRDefault="003A0105" w:rsidP="00192678">
            <w:pPr>
              <w:rPr>
                <w:sz w:val="20"/>
                <w:szCs w:val="20"/>
              </w:rPr>
            </w:pPr>
            <w:r w:rsidRPr="00344BC7">
              <w:rPr>
                <w:sz w:val="20"/>
                <w:szCs w:val="20"/>
              </w:rPr>
              <w:t>Podmirene obveze u izvještajnom razdoblju</w:t>
            </w:r>
          </w:p>
        </w:tc>
        <w:tc>
          <w:tcPr>
            <w:tcW w:w="2487" w:type="dxa"/>
          </w:tcPr>
          <w:p w14:paraId="1615CEC6" w14:textId="77777777" w:rsidR="003A0105" w:rsidRPr="00344BC7" w:rsidRDefault="00D83198" w:rsidP="000572A0">
            <w:pPr>
              <w:jc w:val="right"/>
              <w:rPr>
                <w:sz w:val="20"/>
                <w:szCs w:val="20"/>
              </w:rPr>
            </w:pPr>
            <w:r w:rsidRPr="00344BC7">
              <w:rPr>
                <w:sz w:val="20"/>
                <w:szCs w:val="20"/>
              </w:rPr>
              <w:t>197.034,78</w:t>
            </w:r>
          </w:p>
        </w:tc>
      </w:tr>
      <w:tr w:rsidR="003A0105" w:rsidRPr="00344BC7" w14:paraId="400C30D8" w14:textId="77777777" w:rsidTr="00344BC7">
        <w:trPr>
          <w:jc w:val="center"/>
        </w:trPr>
        <w:tc>
          <w:tcPr>
            <w:tcW w:w="6029" w:type="dxa"/>
          </w:tcPr>
          <w:p w14:paraId="69EBB91E" w14:textId="77777777" w:rsidR="003A0105" w:rsidRPr="00344BC7" w:rsidRDefault="00D83198" w:rsidP="00192678">
            <w:pPr>
              <w:rPr>
                <w:b/>
                <w:bCs/>
                <w:sz w:val="20"/>
                <w:szCs w:val="20"/>
              </w:rPr>
            </w:pPr>
            <w:r w:rsidRPr="00344BC7">
              <w:rPr>
                <w:b/>
                <w:bCs/>
                <w:sz w:val="20"/>
                <w:szCs w:val="20"/>
              </w:rPr>
              <w:t>Stanje obveza na dan 31.12.2023</w:t>
            </w:r>
            <w:r w:rsidR="003A0105" w:rsidRPr="00344BC7">
              <w:rPr>
                <w:b/>
                <w:bCs/>
                <w:sz w:val="20"/>
                <w:szCs w:val="20"/>
              </w:rPr>
              <w:t>.godine</w:t>
            </w:r>
          </w:p>
        </w:tc>
        <w:tc>
          <w:tcPr>
            <w:tcW w:w="2487" w:type="dxa"/>
          </w:tcPr>
          <w:p w14:paraId="1329A784" w14:textId="77777777" w:rsidR="003A0105" w:rsidRPr="00344BC7" w:rsidRDefault="00D83198" w:rsidP="000572A0">
            <w:pPr>
              <w:jc w:val="right"/>
              <w:rPr>
                <w:b/>
                <w:bCs/>
                <w:sz w:val="20"/>
                <w:szCs w:val="20"/>
              </w:rPr>
            </w:pPr>
            <w:r w:rsidRPr="00344BC7">
              <w:rPr>
                <w:b/>
                <w:bCs/>
                <w:sz w:val="20"/>
                <w:szCs w:val="20"/>
              </w:rPr>
              <w:t>13.955,96</w:t>
            </w:r>
          </w:p>
        </w:tc>
      </w:tr>
    </w:tbl>
    <w:p w14:paraId="2EBAA9A8" w14:textId="77777777" w:rsidR="003A0105" w:rsidRPr="00344BC7" w:rsidRDefault="003A0105" w:rsidP="003A0105">
      <w:pPr>
        <w:jc w:val="both"/>
        <w:rPr>
          <w:sz w:val="20"/>
          <w:szCs w:val="20"/>
        </w:rPr>
      </w:pPr>
    </w:p>
    <w:p w14:paraId="4A0B6E0B" w14:textId="77777777" w:rsidR="003A0105" w:rsidRPr="00344BC7" w:rsidRDefault="003A0105" w:rsidP="003A0105">
      <w:pPr>
        <w:jc w:val="both"/>
        <w:rPr>
          <w:sz w:val="20"/>
          <w:szCs w:val="20"/>
        </w:rPr>
      </w:pPr>
    </w:p>
    <w:p w14:paraId="338977EF" w14:textId="77777777" w:rsidR="003A0105" w:rsidRPr="00344BC7" w:rsidRDefault="003A0105" w:rsidP="003A0105">
      <w:pPr>
        <w:ind w:firstLine="708"/>
        <w:jc w:val="both"/>
        <w:rPr>
          <w:sz w:val="20"/>
          <w:szCs w:val="20"/>
        </w:rPr>
      </w:pPr>
      <w:r w:rsidRPr="00344BC7">
        <w:rPr>
          <w:sz w:val="20"/>
          <w:szCs w:val="20"/>
        </w:rPr>
        <w:t>Početno stanje obveza odnosi se na iskazane obveze za  rashode poslovanja, točnije na ob</w:t>
      </w:r>
      <w:r w:rsidR="00D83198" w:rsidRPr="00344BC7">
        <w:rPr>
          <w:sz w:val="20"/>
          <w:szCs w:val="20"/>
        </w:rPr>
        <w:t>računatu plaću za prosinac 2022</w:t>
      </w:r>
      <w:r w:rsidR="00347468" w:rsidRPr="00344BC7">
        <w:rPr>
          <w:sz w:val="20"/>
          <w:szCs w:val="20"/>
        </w:rPr>
        <w:t>.</w:t>
      </w:r>
      <w:r w:rsidR="00A51172" w:rsidRPr="00344BC7">
        <w:rPr>
          <w:sz w:val="20"/>
          <w:szCs w:val="20"/>
        </w:rPr>
        <w:t xml:space="preserve"> i</w:t>
      </w:r>
      <w:r w:rsidR="008F5BB4" w:rsidRPr="00344BC7">
        <w:rPr>
          <w:sz w:val="20"/>
          <w:szCs w:val="20"/>
        </w:rPr>
        <w:t xml:space="preserve"> na račune od</w:t>
      </w:r>
      <w:r w:rsidR="00A51172" w:rsidRPr="00344BC7">
        <w:rPr>
          <w:sz w:val="20"/>
          <w:szCs w:val="20"/>
        </w:rPr>
        <w:t xml:space="preserve"> </w:t>
      </w:r>
      <w:r w:rsidR="008F5BB4" w:rsidRPr="00344BC7">
        <w:rPr>
          <w:sz w:val="20"/>
          <w:szCs w:val="20"/>
        </w:rPr>
        <w:t xml:space="preserve">FINA 2,16 €, </w:t>
      </w:r>
      <w:proofErr w:type="spellStart"/>
      <w:r w:rsidR="008F5BB4" w:rsidRPr="00344BC7">
        <w:rPr>
          <w:sz w:val="20"/>
          <w:szCs w:val="20"/>
        </w:rPr>
        <w:t>Hep</w:t>
      </w:r>
      <w:proofErr w:type="spellEnd"/>
      <w:r w:rsidR="008F5BB4" w:rsidRPr="00344BC7">
        <w:rPr>
          <w:sz w:val="20"/>
          <w:szCs w:val="20"/>
        </w:rPr>
        <w:t xml:space="preserve">-Plina 282,76 €, </w:t>
      </w:r>
      <w:proofErr w:type="spellStart"/>
      <w:r w:rsidR="008F5BB4" w:rsidRPr="00344BC7">
        <w:rPr>
          <w:sz w:val="20"/>
          <w:szCs w:val="20"/>
        </w:rPr>
        <w:t>Codelect</w:t>
      </w:r>
      <w:proofErr w:type="spellEnd"/>
      <w:r w:rsidR="008F5BB4" w:rsidRPr="00344BC7">
        <w:rPr>
          <w:sz w:val="20"/>
          <w:szCs w:val="20"/>
        </w:rPr>
        <w:t xml:space="preserve"> 58,07 €. INA 73,12 €, Hrvatski </w:t>
      </w:r>
      <w:proofErr w:type="spellStart"/>
      <w:r w:rsidR="008F5BB4" w:rsidRPr="00344BC7">
        <w:rPr>
          <w:sz w:val="20"/>
          <w:szCs w:val="20"/>
        </w:rPr>
        <w:t>telekom</w:t>
      </w:r>
      <w:proofErr w:type="spellEnd"/>
      <w:r w:rsidR="008F5BB4" w:rsidRPr="00344BC7">
        <w:rPr>
          <w:sz w:val="20"/>
          <w:szCs w:val="20"/>
        </w:rPr>
        <w:t xml:space="preserve"> 186,74 €, Link 2 106,18 €, </w:t>
      </w:r>
      <w:proofErr w:type="spellStart"/>
      <w:r w:rsidR="008F5BB4" w:rsidRPr="00344BC7">
        <w:rPr>
          <w:sz w:val="20"/>
          <w:szCs w:val="20"/>
        </w:rPr>
        <w:t>Dujeton</w:t>
      </w:r>
      <w:proofErr w:type="spellEnd"/>
      <w:r w:rsidR="008F5BB4" w:rsidRPr="00344BC7">
        <w:rPr>
          <w:sz w:val="20"/>
          <w:szCs w:val="20"/>
        </w:rPr>
        <w:t xml:space="preserve"> Županja 39,82 €, </w:t>
      </w:r>
      <w:proofErr w:type="spellStart"/>
      <w:r w:rsidR="008F5BB4" w:rsidRPr="00344BC7">
        <w:rPr>
          <w:sz w:val="20"/>
          <w:szCs w:val="20"/>
        </w:rPr>
        <w:t>Hidroing</w:t>
      </w:r>
      <w:proofErr w:type="spellEnd"/>
      <w:r w:rsidR="008F5BB4" w:rsidRPr="00344BC7">
        <w:rPr>
          <w:sz w:val="20"/>
          <w:szCs w:val="20"/>
        </w:rPr>
        <w:t xml:space="preserve"> 4147,59 € i Komunalac d.o.o. 15,66 € koje su podmirene</w:t>
      </w:r>
      <w:r w:rsidRPr="00344BC7">
        <w:rPr>
          <w:sz w:val="20"/>
          <w:szCs w:val="20"/>
        </w:rPr>
        <w:t>.</w:t>
      </w:r>
    </w:p>
    <w:p w14:paraId="3BCAE0CB" w14:textId="77777777" w:rsidR="003A0105" w:rsidRPr="00344BC7" w:rsidRDefault="008F5BB4" w:rsidP="008F5BB4">
      <w:pPr>
        <w:ind w:firstLine="708"/>
        <w:jc w:val="both"/>
        <w:rPr>
          <w:sz w:val="20"/>
          <w:szCs w:val="20"/>
        </w:rPr>
      </w:pPr>
      <w:r w:rsidRPr="00344BC7">
        <w:rPr>
          <w:sz w:val="20"/>
          <w:szCs w:val="20"/>
        </w:rPr>
        <w:t>Stanje obveza na dan 31.12.2023</w:t>
      </w:r>
      <w:r w:rsidR="003A0105" w:rsidRPr="00344BC7">
        <w:rPr>
          <w:sz w:val="20"/>
          <w:szCs w:val="20"/>
        </w:rPr>
        <w:t>. odnosi se na i</w:t>
      </w:r>
      <w:r w:rsidRPr="00344BC7">
        <w:rPr>
          <w:sz w:val="20"/>
          <w:szCs w:val="20"/>
        </w:rPr>
        <w:t xml:space="preserve">skazane obveze za  neisplaćenu </w:t>
      </w:r>
      <w:r w:rsidR="003A0105" w:rsidRPr="00344BC7">
        <w:rPr>
          <w:sz w:val="20"/>
          <w:szCs w:val="20"/>
        </w:rPr>
        <w:t>plaću za prosinac 202</w:t>
      </w:r>
      <w:r w:rsidRPr="00344BC7">
        <w:rPr>
          <w:sz w:val="20"/>
          <w:szCs w:val="20"/>
        </w:rPr>
        <w:t>3</w:t>
      </w:r>
      <w:r w:rsidR="00347468" w:rsidRPr="00344BC7">
        <w:rPr>
          <w:sz w:val="20"/>
          <w:szCs w:val="20"/>
        </w:rPr>
        <w:t xml:space="preserve">. </w:t>
      </w:r>
      <w:r w:rsidR="000572A0" w:rsidRPr="00344BC7">
        <w:rPr>
          <w:sz w:val="20"/>
          <w:szCs w:val="20"/>
        </w:rPr>
        <w:t>g</w:t>
      </w:r>
      <w:r w:rsidR="00347468" w:rsidRPr="00344BC7">
        <w:rPr>
          <w:sz w:val="20"/>
          <w:szCs w:val="20"/>
        </w:rPr>
        <w:t xml:space="preserve">odine u iznosu od </w:t>
      </w:r>
      <w:r w:rsidRPr="00344BC7">
        <w:rPr>
          <w:sz w:val="20"/>
          <w:szCs w:val="20"/>
        </w:rPr>
        <w:t xml:space="preserve">12.428,01 € dok se ostatak </w:t>
      </w:r>
      <w:r w:rsidR="003A0105" w:rsidRPr="00344BC7">
        <w:rPr>
          <w:sz w:val="20"/>
          <w:szCs w:val="20"/>
        </w:rPr>
        <w:t xml:space="preserve">odnosi na račune </w:t>
      </w:r>
      <w:r w:rsidR="00970F3D" w:rsidRPr="00344BC7">
        <w:rPr>
          <w:sz w:val="20"/>
          <w:szCs w:val="20"/>
        </w:rPr>
        <w:t>HEP</w:t>
      </w:r>
      <w:r w:rsidRPr="00344BC7">
        <w:rPr>
          <w:sz w:val="20"/>
          <w:szCs w:val="20"/>
        </w:rPr>
        <w:t xml:space="preserve">-Elektra 104,46 €, Hrvatski </w:t>
      </w:r>
      <w:proofErr w:type="spellStart"/>
      <w:r w:rsidRPr="00344BC7">
        <w:rPr>
          <w:sz w:val="20"/>
          <w:szCs w:val="20"/>
        </w:rPr>
        <w:t>telekom</w:t>
      </w:r>
      <w:proofErr w:type="spellEnd"/>
      <w:r w:rsidRPr="00344BC7">
        <w:rPr>
          <w:sz w:val="20"/>
          <w:szCs w:val="20"/>
        </w:rPr>
        <w:t xml:space="preserve"> 233,49 €, Link 2 106,18 €, Komunalac 47,69 €, </w:t>
      </w:r>
      <w:proofErr w:type="spellStart"/>
      <w:r w:rsidRPr="00344BC7">
        <w:rPr>
          <w:sz w:val="20"/>
          <w:szCs w:val="20"/>
        </w:rPr>
        <w:t>Codelect</w:t>
      </w:r>
      <w:proofErr w:type="spellEnd"/>
      <w:r w:rsidRPr="00344BC7">
        <w:rPr>
          <w:sz w:val="20"/>
          <w:szCs w:val="20"/>
        </w:rPr>
        <w:t xml:space="preserve"> 58,06 €, </w:t>
      </w:r>
      <w:proofErr w:type="spellStart"/>
      <w:r w:rsidRPr="00344BC7">
        <w:rPr>
          <w:sz w:val="20"/>
          <w:szCs w:val="20"/>
        </w:rPr>
        <w:t>Tehnokolor</w:t>
      </w:r>
      <w:proofErr w:type="spellEnd"/>
      <w:r w:rsidRPr="00344BC7">
        <w:rPr>
          <w:sz w:val="20"/>
          <w:szCs w:val="20"/>
        </w:rPr>
        <w:t xml:space="preserve"> 29,38 €, Hrvatski radio Županja 247,16 €, </w:t>
      </w:r>
      <w:proofErr w:type="spellStart"/>
      <w:r w:rsidRPr="00344BC7">
        <w:rPr>
          <w:sz w:val="20"/>
          <w:szCs w:val="20"/>
        </w:rPr>
        <w:t>Patričar</w:t>
      </w:r>
      <w:proofErr w:type="spellEnd"/>
      <w:r w:rsidRPr="00344BC7">
        <w:rPr>
          <w:sz w:val="20"/>
          <w:szCs w:val="20"/>
        </w:rPr>
        <w:t xml:space="preserve"> 30,34 €, FINA 1,66 €, Privredna Banka Zagreb 42,31 €, Čistoća Županja 35,92 €</w:t>
      </w:r>
      <w:r w:rsidR="00970F3D" w:rsidRPr="00344BC7">
        <w:rPr>
          <w:sz w:val="20"/>
          <w:szCs w:val="20"/>
        </w:rPr>
        <w:t>, INA 141,82 € i HEP-Plin 449,48 €</w:t>
      </w:r>
    </w:p>
    <w:p w14:paraId="711EA4D5" w14:textId="77777777" w:rsidR="003A0105" w:rsidRPr="00344BC7" w:rsidRDefault="003A0105" w:rsidP="003A0105">
      <w:pPr>
        <w:ind w:firstLine="708"/>
        <w:jc w:val="both"/>
        <w:rPr>
          <w:sz w:val="20"/>
          <w:szCs w:val="20"/>
        </w:rPr>
      </w:pPr>
    </w:p>
    <w:p w14:paraId="3FA67E75" w14:textId="77777777" w:rsidR="003A0105" w:rsidRPr="00344BC7" w:rsidRDefault="003A0105" w:rsidP="003A0105">
      <w:pPr>
        <w:pStyle w:val="Naslov2"/>
        <w:rPr>
          <w:rFonts w:ascii="Times New Roman" w:hAnsi="Times New Roman" w:cs="Times New Roman"/>
          <w:sz w:val="20"/>
          <w:szCs w:val="20"/>
        </w:rPr>
      </w:pPr>
      <w:r w:rsidRPr="00344BC7">
        <w:rPr>
          <w:rFonts w:ascii="Times New Roman" w:hAnsi="Times New Roman" w:cs="Times New Roman"/>
          <w:sz w:val="20"/>
          <w:szCs w:val="20"/>
        </w:rPr>
        <w:t>BILJEŠKE</w:t>
      </w:r>
    </w:p>
    <w:p w14:paraId="714E2ABD" w14:textId="77777777" w:rsidR="003A0105" w:rsidRPr="00344BC7" w:rsidRDefault="003A0105" w:rsidP="003A0105">
      <w:pPr>
        <w:ind w:right="72"/>
        <w:jc w:val="center"/>
        <w:rPr>
          <w:b/>
          <w:bCs/>
          <w:sz w:val="20"/>
          <w:szCs w:val="20"/>
        </w:rPr>
      </w:pPr>
    </w:p>
    <w:p w14:paraId="5ECA8580" w14:textId="77777777" w:rsidR="003A0105" w:rsidRPr="00344BC7" w:rsidRDefault="003A0105" w:rsidP="003A0105">
      <w:pPr>
        <w:ind w:right="72"/>
        <w:jc w:val="center"/>
        <w:rPr>
          <w:b/>
          <w:bCs/>
          <w:sz w:val="20"/>
          <w:szCs w:val="20"/>
        </w:rPr>
      </w:pPr>
      <w:r w:rsidRPr="00344BC7">
        <w:rPr>
          <w:b/>
          <w:bCs/>
          <w:sz w:val="20"/>
          <w:szCs w:val="20"/>
        </w:rPr>
        <w:t>UZ  IZVJEŠTAJ O PROMJENAMA U VRIJEDNOSTI</w:t>
      </w:r>
    </w:p>
    <w:p w14:paraId="1A706E9F" w14:textId="77777777" w:rsidR="003A0105" w:rsidRPr="00344BC7" w:rsidRDefault="003A0105" w:rsidP="003A0105">
      <w:pPr>
        <w:ind w:right="72"/>
        <w:jc w:val="center"/>
        <w:rPr>
          <w:b/>
          <w:bCs/>
          <w:sz w:val="20"/>
          <w:szCs w:val="20"/>
        </w:rPr>
      </w:pPr>
      <w:r w:rsidRPr="00344BC7">
        <w:rPr>
          <w:b/>
          <w:bCs/>
          <w:sz w:val="20"/>
          <w:szCs w:val="20"/>
        </w:rPr>
        <w:t>I OBUJMU IMOVINE I OBVEZA</w:t>
      </w:r>
    </w:p>
    <w:p w14:paraId="66508B8C" w14:textId="77777777" w:rsidR="003A0105" w:rsidRPr="00344BC7" w:rsidRDefault="003A0105" w:rsidP="003A0105">
      <w:pPr>
        <w:ind w:firstLine="708"/>
        <w:jc w:val="both"/>
        <w:rPr>
          <w:sz w:val="20"/>
          <w:szCs w:val="20"/>
        </w:rPr>
      </w:pPr>
    </w:p>
    <w:p w14:paraId="3B066622" w14:textId="77777777" w:rsidR="003A0105" w:rsidRPr="00344BC7" w:rsidRDefault="003A0105" w:rsidP="00A10E8D">
      <w:pPr>
        <w:ind w:firstLine="708"/>
        <w:jc w:val="both"/>
        <w:rPr>
          <w:sz w:val="20"/>
          <w:szCs w:val="20"/>
        </w:rPr>
      </w:pPr>
      <w:r w:rsidRPr="00344BC7">
        <w:rPr>
          <w:sz w:val="20"/>
          <w:szCs w:val="20"/>
        </w:rPr>
        <w:t xml:space="preserve">Promjene u vrijednosti i obujmu imovine </w:t>
      </w:r>
      <w:r w:rsidR="002F0327" w:rsidRPr="00344BC7">
        <w:rPr>
          <w:sz w:val="20"/>
          <w:szCs w:val="20"/>
        </w:rPr>
        <w:t>Gradskog muzeja Županja u</w:t>
      </w:r>
      <w:r w:rsidRPr="00344BC7">
        <w:rPr>
          <w:sz w:val="20"/>
          <w:szCs w:val="20"/>
        </w:rPr>
        <w:t xml:space="preserve"> razdoblju </w:t>
      </w:r>
      <w:r w:rsidR="002F0327" w:rsidRPr="00344BC7">
        <w:rPr>
          <w:sz w:val="20"/>
          <w:szCs w:val="20"/>
        </w:rPr>
        <w:t>od 01.01.2023. do 31.12.2023. godine</w:t>
      </w:r>
      <w:r w:rsidRPr="00344BC7">
        <w:rPr>
          <w:sz w:val="20"/>
          <w:szCs w:val="20"/>
        </w:rPr>
        <w:t xml:space="preserve"> </w:t>
      </w:r>
      <w:r w:rsidR="00A10E8D" w:rsidRPr="00344BC7">
        <w:rPr>
          <w:sz w:val="20"/>
          <w:szCs w:val="20"/>
        </w:rPr>
        <w:t>nije bilo</w:t>
      </w:r>
      <w:r w:rsidR="004D79D8" w:rsidRPr="00344BC7">
        <w:rPr>
          <w:sz w:val="20"/>
          <w:szCs w:val="20"/>
        </w:rPr>
        <w:t>.</w:t>
      </w:r>
    </w:p>
    <w:p w14:paraId="7F88EBE2" w14:textId="77777777" w:rsidR="003A0105" w:rsidRPr="00344BC7" w:rsidRDefault="003A0105" w:rsidP="003A0105">
      <w:pPr>
        <w:ind w:firstLine="708"/>
        <w:jc w:val="both"/>
        <w:rPr>
          <w:sz w:val="20"/>
          <w:szCs w:val="20"/>
        </w:rPr>
      </w:pPr>
    </w:p>
    <w:p w14:paraId="42CE2C85" w14:textId="77777777" w:rsidR="00A10E8D" w:rsidRPr="00344BC7" w:rsidRDefault="00A10E8D" w:rsidP="003A0105">
      <w:pPr>
        <w:ind w:firstLine="708"/>
        <w:jc w:val="both"/>
        <w:rPr>
          <w:sz w:val="20"/>
          <w:szCs w:val="20"/>
        </w:rPr>
      </w:pPr>
    </w:p>
    <w:p w14:paraId="7A8EC80C" w14:textId="77777777" w:rsidR="003A0105" w:rsidRPr="00344BC7" w:rsidRDefault="003A0105" w:rsidP="003A0105">
      <w:pPr>
        <w:ind w:firstLine="708"/>
        <w:jc w:val="both"/>
        <w:rPr>
          <w:sz w:val="20"/>
          <w:szCs w:val="20"/>
        </w:rPr>
      </w:pPr>
      <w:r w:rsidRPr="00344BC7">
        <w:rPr>
          <w:sz w:val="20"/>
          <w:szCs w:val="20"/>
        </w:rPr>
        <w:t>Mjesto: Županja</w:t>
      </w:r>
    </w:p>
    <w:p w14:paraId="529D7D7A" w14:textId="0C03C841" w:rsidR="003A0105" w:rsidRPr="00344BC7" w:rsidRDefault="002F0327" w:rsidP="003A0105">
      <w:pPr>
        <w:ind w:firstLine="708"/>
        <w:jc w:val="both"/>
        <w:rPr>
          <w:sz w:val="20"/>
          <w:szCs w:val="20"/>
        </w:rPr>
      </w:pPr>
      <w:r w:rsidRPr="00344BC7">
        <w:rPr>
          <w:sz w:val="20"/>
          <w:szCs w:val="20"/>
        </w:rPr>
        <w:t>Datum: 2</w:t>
      </w:r>
      <w:r w:rsidR="005D546F">
        <w:rPr>
          <w:sz w:val="20"/>
          <w:szCs w:val="20"/>
        </w:rPr>
        <w:t>9</w:t>
      </w:r>
      <w:r w:rsidR="000572A0" w:rsidRPr="00344BC7">
        <w:rPr>
          <w:sz w:val="20"/>
          <w:szCs w:val="20"/>
        </w:rPr>
        <w:t>.01.2024</w:t>
      </w:r>
      <w:r w:rsidR="003A0105" w:rsidRPr="00344BC7">
        <w:rPr>
          <w:sz w:val="20"/>
          <w:szCs w:val="20"/>
        </w:rPr>
        <w:t>.</w:t>
      </w:r>
    </w:p>
    <w:p w14:paraId="7EE39ABE" w14:textId="77777777" w:rsidR="003A0105" w:rsidRPr="00344BC7" w:rsidRDefault="003A0105" w:rsidP="003A0105">
      <w:pPr>
        <w:ind w:firstLine="708"/>
        <w:jc w:val="both"/>
        <w:rPr>
          <w:sz w:val="20"/>
          <w:szCs w:val="20"/>
        </w:rPr>
      </w:pPr>
      <w:r w:rsidRPr="00344BC7">
        <w:rPr>
          <w:sz w:val="20"/>
          <w:szCs w:val="20"/>
        </w:rPr>
        <w:t xml:space="preserve">Osoba za kontaktiranje: Đurica </w:t>
      </w:r>
      <w:proofErr w:type="spellStart"/>
      <w:r w:rsidRPr="00344BC7">
        <w:rPr>
          <w:sz w:val="20"/>
          <w:szCs w:val="20"/>
        </w:rPr>
        <w:t>Marošević</w:t>
      </w:r>
      <w:proofErr w:type="spellEnd"/>
    </w:p>
    <w:p w14:paraId="7CB45AAA" w14:textId="77777777" w:rsidR="003A0105" w:rsidRPr="00344BC7" w:rsidRDefault="003A0105" w:rsidP="003A0105">
      <w:pPr>
        <w:ind w:firstLine="708"/>
        <w:jc w:val="both"/>
        <w:rPr>
          <w:sz w:val="20"/>
          <w:szCs w:val="20"/>
        </w:rPr>
      </w:pPr>
      <w:r w:rsidRPr="00344BC7">
        <w:rPr>
          <w:sz w:val="20"/>
          <w:szCs w:val="20"/>
        </w:rPr>
        <w:t>Telefon za kontakt: 032-831-044</w:t>
      </w:r>
    </w:p>
    <w:p w14:paraId="2E071E79" w14:textId="77777777" w:rsidR="003A0105" w:rsidRPr="00344BC7" w:rsidRDefault="003A0105" w:rsidP="003A0105">
      <w:pPr>
        <w:ind w:firstLine="708"/>
        <w:jc w:val="both"/>
        <w:rPr>
          <w:sz w:val="20"/>
          <w:szCs w:val="20"/>
        </w:rPr>
      </w:pPr>
      <w:r w:rsidRPr="00344BC7">
        <w:rPr>
          <w:sz w:val="20"/>
          <w:szCs w:val="20"/>
        </w:rPr>
        <w:t xml:space="preserve">Zakonski predstavnik: </w:t>
      </w:r>
      <w:r w:rsidR="00A10E8D" w:rsidRPr="00344BC7">
        <w:rPr>
          <w:sz w:val="20"/>
          <w:szCs w:val="20"/>
        </w:rPr>
        <w:t>Hrvoje Tkalac</w:t>
      </w:r>
    </w:p>
    <w:p w14:paraId="6228E564" w14:textId="77777777" w:rsidR="003A0105" w:rsidRPr="00344BC7" w:rsidRDefault="003A0105" w:rsidP="003A0105">
      <w:pPr>
        <w:rPr>
          <w:sz w:val="20"/>
          <w:szCs w:val="20"/>
        </w:rPr>
      </w:pPr>
    </w:p>
    <w:p w14:paraId="55F51A93" w14:textId="77777777" w:rsidR="003A0105" w:rsidRPr="00344BC7" w:rsidRDefault="003A0105" w:rsidP="003A0105">
      <w:pPr>
        <w:pStyle w:val="Tijeloteksta"/>
        <w:ind w:left="5580"/>
        <w:jc w:val="center"/>
        <w:rPr>
          <w:rFonts w:ascii="Times New Roman" w:hAnsi="Times New Roman" w:cs="Times New Roman"/>
          <w:sz w:val="20"/>
          <w:szCs w:val="20"/>
        </w:rPr>
      </w:pPr>
      <w:r w:rsidRPr="00344BC7">
        <w:rPr>
          <w:rFonts w:ascii="Times New Roman" w:hAnsi="Times New Roman" w:cs="Times New Roman"/>
          <w:sz w:val="20"/>
          <w:szCs w:val="20"/>
        </w:rPr>
        <w:t>Zakonski predstavnik:</w:t>
      </w:r>
    </w:p>
    <w:p w14:paraId="37094CCC" w14:textId="77777777" w:rsidR="003A0105" w:rsidRPr="00344BC7" w:rsidRDefault="00A10E8D" w:rsidP="003A0105">
      <w:pPr>
        <w:pStyle w:val="Tijeloteksta"/>
        <w:ind w:left="5580"/>
        <w:jc w:val="center"/>
        <w:rPr>
          <w:rFonts w:ascii="Times New Roman" w:hAnsi="Times New Roman" w:cs="Times New Roman"/>
          <w:sz w:val="20"/>
          <w:szCs w:val="20"/>
        </w:rPr>
      </w:pPr>
      <w:r w:rsidRPr="00344BC7">
        <w:rPr>
          <w:rFonts w:ascii="Times New Roman" w:hAnsi="Times New Roman" w:cs="Times New Roman"/>
          <w:sz w:val="20"/>
          <w:szCs w:val="20"/>
        </w:rPr>
        <w:t>Hrvoje Tkalac, prof. pov. i dipl. arh.</w:t>
      </w:r>
    </w:p>
    <w:p w14:paraId="7AD40E50" w14:textId="77777777" w:rsidR="003A0105" w:rsidRPr="00344BC7" w:rsidRDefault="003A0105">
      <w:pPr>
        <w:rPr>
          <w:sz w:val="20"/>
          <w:szCs w:val="20"/>
        </w:rPr>
      </w:pPr>
    </w:p>
    <w:sectPr w:rsidR="003A0105" w:rsidRPr="00344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33F0A"/>
    <w:multiLevelType w:val="hybridMultilevel"/>
    <w:tmpl w:val="27F8E11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4FED722B"/>
    <w:multiLevelType w:val="hybridMultilevel"/>
    <w:tmpl w:val="6292FFBA"/>
    <w:lvl w:ilvl="0" w:tplc="041A0001">
      <w:start w:val="1"/>
      <w:numFmt w:val="bullet"/>
      <w:lvlText w:val=""/>
      <w:lvlJc w:val="left"/>
      <w:pPr>
        <w:tabs>
          <w:tab w:val="num" w:pos="1428"/>
        </w:tabs>
        <w:ind w:left="1428" w:hanging="360"/>
      </w:pPr>
      <w:rPr>
        <w:rFonts w:ascii="Symbol" w:hAnsi="Symbol" w:hint="default"/>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2B"/>
    <w:rsid w:val="000572A0"/>
    <w:rsid w:val="00116E06"/>
    <w:rsid w:val="0018497C"/>
    <w:rsid w:val="001F118D"/>
    <w:rsid w:val="00200830"/>
    <w:rsid w:val="00257A2E"/>
    <w:rsid w:val="002F0327"/>
    <w:rsid w:val="00344BC7"/>
    <w:rsid w:val="00347468"/>
    <w:rsid w:val="003A0105"/>
    <w:rsid w:val="003C66D0"/>
    <w:rsid w:val="003F5EA9"/>
    <w:rsid w:val="004100B5"/>
    <w:rsid w:val="004361E9"/>
    <w:rsid w:val="004722CB"/>
    <w:rsid w:val="004811EB"/>
    <w:rsid w:val="004D79D8"/>
    <w:rsid w:val="00514E89"/>
    <w:rsid w:val="005916FB"/>
    <w:rsid w:val="00591F9E"/>
    <w:rsid w:val="0059553D"/>
    <w:rsid w:val="005D546F"/>
    <w:rsid w:val="005F597F"/>
    <w:rsid w:val="00632A19"/>
    <w:rsid w:val="006F042B"/>
    <w:rsid w:val="006F54EF"/>
    <w:rsid w:val="007731F4"/>
    <w:rsid w:val="007B31BD"/>
    <w:rsid w:val="008F5BB4"/>
    <w:rsid w:val="00952C7D"/>
    <w:rsid w:val="00970F3D"/>
    <w:rsid w:val="009B75FC"/>
    <w:rsid w:val="009D7E63"/>
    <w:rsid w:val="009E1579"/>
    <w:rsid w:val="00A02637"/>
    <w:rsid w:val="00A05FC9"/>
    <w:rsid w:val="00A10E8D"/>
    <w:rsid w:val="00A2551A"/>
    <w:rsid w:val="00A51172"/>
    <w:rsid w:val="00AB209D"/>
    <w:rsid w:val="00AD58AA"/>
    <w:rsid w:val="00AF7285"/>
    <w:rsid w:val="00B65936"/>
    <w:rsid w:val="00B940E6"/>
    <w:rsid w:val="00BC1A24"/>
    <w:rsid w:val="00C603B7"/>
    <w:rsid w:val="00C86A36"/>
    <w:rsid w:val="00D2356D"/>
    <w:rsid w:val="00D40BCD"/>
    <w:rsid w:val="00D83198"/>
    <w:rsid w:val="00DB5497"/>
    <w:rsid w:val="00DC72FF"/>
    <w:rsid w:val="00DD615A"/>
    <w:rsid w:val="00E05517"/>
    <w:rsid w:val="00E92676"/>
    <w:rsid w:val="00F54465"/>
    <w:rsid w:val="00FC5138"/>
    <w:rsid w:val="00FD73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B"/>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F042B"/>
    <w:pPr>
      <w:keepNext/>
      <w:ind w:right="5112"/>
      <w:jc w:val="center"/>
      <w:outlineLvl w:val="0"/>
    </w:pPr>
    <w:rPr>
      <w:rFonts w:ascii="Arial" w:hAnsi="Arial" w:cs="Arial"/>
      <w:b/>
      <w:bCs/>
    </w:rPr>
  </w:style>
  <w:style w:type="paragraph" w:styleId="Naslov2">
    <w:name w:val="heading 2"/>
    <w:basedOn w:val="Normal"/>
    <w:next w:val="Normal"/>
    <w:link w:val="Naslov2Char"/>
    <w:qFormat/>
    <w:rsid w:val="006F042B"/>
    <w:pPr>
      <w:keepNext/>
      <w:ind w:right="72"/>
      <w:jc w:val="center"/>
      <w:outlineLvl w:val="1"/>
    </w:pPr>
    <w:rPr>
      <w:rFonts w:ascii="Arial" w:hAnsi="Arial" w:cs="Arial"/>
      <w:b/>
      <w:bCs/>
    </w:rPr>
  </w:style>
  <w:style w:type="paragraph" w:styleId="Naslov3">
    <w:name w:val="heading 3"/>
    <w:basedOn w:val="Normal"/>
    <w:next w:val="Normal"/>
    <w:link w:val="Naslov3Char"/>
    <w:qFormat/>
    <w:rsid w:val="006F042B"/>
    <w:pPr>
      <w:keepNext/>
      <w:jc w:val="center"/>
      <w:outlineLvl w:val="2"/>
    </w:pPr>
    <w:rPr>
      <w:rFonts w:ascii="Arial" w:hAnsi="Arial" w:cs="Arial"/>
      <w:b/>
      <w:bCs/>
    </w:rPr>
  </w:style>
  <w:style w:type="paragraph" w:styleId="Naslov4">
    <w:name w:val="heading 4"/>
    <w:basedOn w:val="Normal"/>
    <w:next w:val="Normal"/>
    <w:link w:val="Naslov4Char"/>
    <w:qFormat/>
    <w:rsid w:val="006F042B"/>
    <w:pPr>
      <w:keepNext/>
      <w:jc w:val="center"/>
      <w:outlineLvl w:val="3"/>
    </w:pPr>
    <w:rPr>
      <w:rFonts w:ascii="Arial" w:hAnsi="Arial" w:cs="Arial"/>
      <w:b/>
      <w:bCs/>
      <w:sz w:val="20"/>
    </w:rPr>
  </w:style>
  <w:style w:type="paragraph" w:styleId="Naslov5">
    <w:name w:val="heading 5"/>
    <w:basedOn w:val="Normal"/>
    <w:next w:val="Normal"/>
    <w:link w:val="Naslov5Char"/>
    <w:qFormat/>
    <w:rsid w:val="006F042B"/>
    <w:pPr>
      <w:keepNext/>
      <w:outlineLvl w:val="4"/>
    </w:pPr>
    <w:rPr>
      <w:rFonts w:ascii="Arial" w:hAnsi="Arial" w:cs="Arial"/>
      <w:b/>
      <w:bCs/>
      <w:i/>
      <w:iCs/>
    </w:rPr>
  </w:style>
  <w:style w:type="paragraph" w:styleId="Naslov7">
    <w:name w:val="heading 7"/>
    <w:basedOn w:val="Normal"/>
    <w:next w:val="Normal"/>
    <w:link w:val="Naslov7Char"/>
    <w:uiPriority w:val="9"/>
    <w:semiHidden/>
    <w:unhideWhenUsed/>
    <w:qFormat/>
    <w:rsid w:val="003A010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F042B"/>
    <w:rPr>
      <w:rFonts w:ascii="Arial" w:eastAsia="Times New Roman" w:hAnsi="Arial" w:cs="Arial"/>
      <w:b/>
      <w:bCs/>
      <w:sz w:val="24"/>
      <w:szCs w:val="24"/>
      <w:lang w:eastAsia="hr-HR"/>
    </w:rPr>
  </w:style>
  <w:style w:type="character" w:customStyle="1" w:styleId="Naslov2Char">
    <w:name w:val="Naslov 2 Char"/>
    <w:basedOn w:val="Zadanifontodlomka"/>
    <w:link w:val="Naslov2"/>
    <w:rsid w:val="006F042B"/>
    <w:rPr>
      <w:rFonts w:ascii="Arial" w:eastAsia="Times New Roman" w:hAnsi="Arial" w:cs="Arial"/>
      <w:b/>
      <w:bCs/>
      <w:sz w:val="24"/>
      <w:szCs w:val="24"/>
      <w:lang w:eastAsia="hr-HR"/>
    </w:rPr>
  </w:style>
  <w:style w:type="character" w:customStyle="1" w:styleId="Naslov3Char">
    <w:name w:val="Naslov 3 Char"/>
    <w:basedOn w:val="Zadanifontodlomka"/>
    <w:link w:val="Naslov3"/>
    <w:rsid w:val="006F042B"/>
    <w:rPr>
      <w:rFonts w:ascii="Arial" w:eastAsia="Times New Roman" w:hAnsi="Arial" w:cs="Arial"/>
      <w:b/>
      <w:bCs/>
      <w:sz w:val="24"/>
      <w:szCs w:val="24"/>
      <w:lang w:eastAsia="hr-HR"/>
    </w:rPr>
  </w:style>
  <w:style w:type="character" w:customStyle="1" w:styleId="Naslov4Char">
    <w:name w:val="Naslov 4 Char"/>
    <w:basedOn w:val="Zadanifontodlomka"/>
    <w:link w:val="Naslov4"/>
    <w:rsid w:val="006F042B"/>
    <w:rPr>
      <w:rFonts w:ascii="Arial" w:eastAsia="Times New Roman" w:hAnsi="Arial" w:cs="Arial"/>
      <w:b/>
      <w:bCs/>
      <w:sz w:val="20"/>
      <w:szCs w:val="24"/>
      <w:lang w:eastAsia="hr-HR"/>
    </w:rPr>
  </w:style>
  <w:style w:type="character" w:customStyle="1" w:styleId="Naslov5Char">
    <w:name w:val="Naslov 5 Char"/>
    <w:basedOn w:val="Zadanifontodlomka"/>
    <w:link w:val="Naslov5"/>
    <w:rsid w:val="006F042B"/>
    <w:rPr>
      <w:rFonts w:ascii="Arial" w:eastAsia="Times New Roman" w:hAnsi="Arial" w:cs="Arial"/>
      <w:b/>
      <w:bCs/>
      <w:i/>
      <w:iCs/>
      <w:sz w:val="24"/>
      <w:szCs w:val="24"/>
      <w:lang w:eastAsia="hr-HR"/>
    </w:rPr>
  </w:style>
  <w:style w:type="paragraph" w:styleId="Naslov">
    <w:name w:val="Title"/>
    <w:basedOn w:val="Normal"/>
    <w:link w:val="NaslovChar"/>
    <w:qFormat/>
    <w:rsid w:val="006F042B"/>
    <w:pPr>
      <w:ind w:right="5112"/>
      <w:jc w:val="center"/>
    </w:pPr>
    <w:rPr>
      <w:rFonts w:ascii="Arial" w:hAnsi="Arial" w:cs="Arial"/>
      <w:b/>
      <w:bCs/>
    </w:rPr>
  </w:style>
  <w:style w:type="character" w:customStyle="1" w:styleId="NaslovChar">
    <w:name w:val="Naslov Char"/>
    <w:basedOn w:val="Zadanifontodlomka"/>
    <w:link w:val="Naslov"/>
    <w:rsid w:val="006F042B"/>
    <w:rPr>
      <w:rFonts w:ascii="Arial" w:eastAsia="Times New Roman" w:hAnsi="Arial" w:cs="Arial"/>
      <w:b/>
      <w:bCs/>
      <w:sz w:val="24"/>
      <w:szCs w:val="24"/>
      <w:lang w:eastAsia="hr-HR"/>
    </w:rPr>
  </w:style>
  <w:style w:type="paragraph" w:styleId="Tijeloteksta">
    <w:name w:val="Body Text"/>
    <w:basedOn w:val="Normal"/>
    <w:link w:val="TijelotekstaChar"/>
    <w:rsid w:val="006F042B"/>
    <w:pPr>
      <w:jc w:val="both"/>
    </w:pPr>
    <w:rPr>
      <w:rFonts w:ascii="Arial" w:hAnsi="Arial" w:cs="Arial"/>
    </w:rPr>
  </w:style>
  <w:style w:type="character" w:customStyle="1" w:styleId="TijelotekstaChar">
    <w:name w:val="Tijelo teksta Char"/>
    <w:basedOn w:val="Zadanifontodlomka"/>
    <w:link w:val="Tijeloteksta"/>
    <w:rsid w:val="006F042B"/>
    <w:rPr>
      <w:rFonts w:ascii="Arial" w:eastAsia="Times New Roman" w:hAnsi="Arial" w:cs="Arial"/>
      <w:sz w:val="24"/>
      <w:szCs w:val="24"/>
      <w:lang w:eastAsia="hr-HR"/>
    </w:rPr>
  </w:style>
  <w:style w:type="character" w:customStyle="1" w:styleId="Naslov7Char">
    <w:name w:val="Naslov 7 Char"/>
    <w:basedOn w:val="Zadanifontodlomka"/>
    <w:link w:val="Naslov7"/>
    <w:uiPriority w:val="9"/>
    <w:semiHidden/>
    <w:rsid w:val="003A0105"/>
    <w:rPr>
      <w:rFonts w:asciiTheme="majorHAnsi" w:eastAsiaTheme="majorEastAsia" w:hAnsiTheme="majorHAnsi" w:cstheme="majorBidi"/>
      <w:i/>
      <w:iCs/>
      <w:color w:val="404040" w:themeColor="text1" w:themeTint="BF"/>
      <w:sz w:val="24"/>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B"/>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F042B"/>
    <w:pPr>
      <w:keepNext/>
      <w:ind w:right="5112"/>
      <w:jc w:val="center"/>
      <w:outlineLvl w:val="0"/>
    </w:pPr>
    <w:rPr>
      <w:rFonts w:ascii="Arial" w:hAnsi="Arial" w:cs="Arial"/>
      <w:b/>
      <w:bCs/>
    </w:rPr>
  </w:style>
  <w:style w:type="paragraph" w:styleId="Naslov2">
    <w:name w:val="heading 2"/>
    <w:basedOn w:val="Normal"/>
    <w:next w:val="Normal"/>
    <w:link w:val="Naslov2Char"/>
    <w:qFormat/>
    <w:rsid w:val="006F042B"/>
    <w:pPr>
      <w:keepNext/>
      <w:ind w:right="72"/>
      <w:jc w:val="center"/>
      <w:outlineLvl w:val="1"/>
    </w:pPr>
    <w:rPr>
      <w:rFonts w:ascii="Arial" w:hAnsi="Arial" w:cs="Arial"/>
      <w:b/>
      <w:bCs/>
    </w:rPr>
  </w:style>
  <w:style w:type="paragraph" w:styleId="Naslov3">
    <w:name w:val="heading 3"/>
    <w:basedOn w:val="Normal"/>
    <w:next w:val="Normal"/>
    <w:link w:val="Naslov3Char"/>
    <w:qFormat/>
    <w:rsid w:val="006F042B"/>
    <w:pPr>
      <w:keepNext/>
      <w:jc w:val="center"/>
      <w:outlineLvl w:val="2"/>
    </w:pPr>
    <w:rPr>
      <w:rFonts w:ascii="Arial" w:hAnsi="Arial" w:cs="Arial"/>
      <w:b/>
      <w:bCs/>
    </w:rPr>
  </w:style>
  <w:style w:type="paragraph" w:styleId="Naslov4">
    <w:name w:val="heading 4"/>
    <w:basedOn w:val="Normal"/>
    <w:next w:val="Normal"/>
    <w:link w:val="Naslov4Char"/>
    <w:qFormat/>
    <w:rsid w:val="006F042B"/>
    <w:pPr>
      <w:keepNext/>
      <w:jc w:val="center"/>
      <w:outlineLvl w:val="3"/>
    </w:pPr>
    <w:rPr>
      <w:rFonts w:ascii="Arial" w:hAnsi="Arial" w:cs="Arial"/>
      <w:b/>
      <w:bCs/>
      <w:sz w:val="20"/>
    </w:rPr>
  </w:style>
  <w:style w:type="paragraph" w:styleId="Naslov5">
    <w:name w:val="heading 5"/>
    <w:basedOn w:val="Normal"/>
    <w:next w:val="Normal"/>
    <w:link w:val="Naslov5Char"/>
    <w:qFormat/>
    <w:rsid w:val="006F042B"/>
    <w:pPr>
      <w:keepNext/>
      <w:outlineLvl w:val="4"/>
    </w:pPr>
    <w:rPr>
      <w:rFonts w:ascii="Arial" w:hAnsi="Arial" w:cs="Arial"/>
      <w:b/>
      <w:bCs/>
      <w:i/>
      <w:iCs/>
    </w:rPr>
  </w:style>
  <w:style w:type="paragraph" w:styleId="Naslov7">
    <w:name w:val="heading 7"/>
    <w:basedOn w:val="Normal"/>
    <w:next w:val="Normal"/>
    <w:link w:val="Naslov7Char"/>
    <w:uiPriority w:val="9"/>
    <w:semiHidden/>
    <w:unhideWhenUsed/>
    <w:qFormat/>
    <w:rsid w:val="003A010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F042B"/>
    <w:rPr>
      <w:rFonts w:ascii="Arial" w:eastAsia="Times New Roman" w:hAnsi="Arial" w:cs="Arial"/>
      <w:b/>
      <w:bCs/>
      <w:sz w:val="24"/>
      <w:szCs w:val="24"/>
      <w:lang w:eastAsia="hr-HR"/>
    </w:rPr>
  </w:style>
  <w:style w:type="character" w:customStyle="1" w:styleId="Naslov2Char">
    <w:name w:val="Naslov 2 Char"/>
    <w:basedOn w:val="Zadanifontodlomka"/>
    <w:link w:val="Naslov2"/>
    <w:rsid w:val="006F042B"/>
    <w:rPr>
      <w:rFonts w:ascii="Arial" w:eastAsia="Times New Roman" w:hAnsi="Arial" w:cs="Arial"/>
      <w:b/>
      <w:bCs/>
      <w:sz w:val="24"/>
      <w:szCs w:val="24"/>
      <w:lang w:eastAsia="hr-HR"/>
    </w:rPr>
  </w:style>
  <w:style w:type="character" w:customStyle="1" w:styleId="Naslov3Char">
    <w:name w:val="Naslov 3 Char"/>
    <w:basedOn w:val="Zadanifontodlomka"/>
    <w:link w:val="Naslov3"/>
    <w:rsid w:val="006F042B"/>
    <w:rPr>
      <w:rFonts w:ascii="Arial" w:eastAsia="Times New Roman" w:hAnsi="Arial" w:cs="Arial"/>
      <w:b/>
      <w:bCs/>
      <w:sz w:val="24"/>
      <w:szCs w:val="24"/>
      <w:lang w:eastAsia="hr-HR"/>
    </w:rPr>
  </w:style>
  <w:style w:type="character" w:customStyle="1" w:styleId="Naslov4Char">
    <w:name w:val="Naslov 4 Char"/>
    <w:basedOn w:val="Zadanifontodlomka"/>
    <w:link w:val="Naslov4"/>
    <w:rsid w:val="006F042B"/>
    <w:rPr>
      <w:rFonts w:ascii="Arial" w:eastAsia="Times New Roman" w:hAnsi="Arial" w:cs="Arial"/>
      <w:b/>
      <w:bCs/>
      <w:sz w:val="20"/>
      <w:szCs w:val="24"/>
      <w:lang w:eastAsia="hr-HR"/>
    </w:rPr>
  </w:style>
  <w:style w:type="character" w:customStyle="1" w:styleId="Naslov5Char">
    <w:name w:val="Naslov 5 Char"/>
    <w:basedOn w:val="Zadanifontodlomka"/>
    <w:link w:val="Naslov5"/>
    <w:rsid w:val="006F042B"/>
    <w:rPr>
      <w:rFonts w:ascii="Arial" w:eastAsia="Times New Roman" w:hAnsi="Arial" w:cs="Arial"/>
      <w:b/>
      <w:bCs/>
      <w:i/>
      <w:iCs/>
      <w:sz w:val="24"/>
      <w:szCs w:val="24"/>
      <w:lang w:eastAsia="hr-HR"/>
    </w:rPr>
  </w:style>
  <w:style w:type="paragraph" w:styleId="Naslov">
    <w:name w:val="Title"/>
    <w:basedOn w:val="Normal"/>
    <w:link w:val="NaslovChar"/>
    <w:qFormat/>
    <w:rsid w:val="006F042B"/>
    <w:pPr>
      <w:ind w:right="5112"/>
      <w:jc w:val="center"/>
    </w:pPr>
    <w:rPr>
      <w:rFonts w:ascii="Arial" w:hAnsi="Arial" w:cs="Arial"/>
      <w:b/>
      <w:bCs/>
    </w:rPr>
  </w:style>
  <w:style w:type="character" w:customStyle="1" w:styleId="NaslovChar">
    <w:name w:val="Naslov Char"/>
    <w:basedOn w:val="Zadanifontodlomka"/>
    <w:link w:val="Naslov"/>
    <w:rsid w:val="006F042B"/>
    <w:rPr>
      <w:rFonts w:ascii="Arial" w:eastAsia="Times New Roman" w:hAnsi="Arial" w:cs="Arial"/>
      <w:b/>
      <w:bCs/>
      <w:sz w:val="24"/>
      <w:szCs w:val="24"/>
      <w:lang w:eastAsia="hr-HR"/>
    </w:rPr>
  </w:style>
  <w:style w:type="paragraph" w:styleId="Tijeloteksta">
    <w:name w:val="Body Text"/>
    <w:basedOn w:val="Normal"/>
    <w:link w:val="TijelotekstaChar"/>
    <w:rsid w:val="006F042B"/>
    <w:pPr>
      <w:jc w:val="both"/>
    </w:pPr>
    <w:rPr>
      <w:rFonts w:ascii="Arial" w:hAnsi="Arial" w:cs="Arial"/>
    </w:rPr>
  </w:style>
  <w:style w:type="character" w:customStyle="1" w:styleId="TijelotekstaChar">
    <w:name w:val="Tijelo teksta Char"/>
    <w:basedOn w:val="Zadanifontodlomka"/>
    <w:link w:val="Tijeloteksta"/>
    <w:rsid w:val="006F042B"/>
    <w:rPr>
      <w:rFonts w:ascii="Arial" w:eastAsia="Times New Roman" w:hAnsi="Arial" w:cs="Arial"/>
      <w:sz w:val="24"/>
      <w:szCs w:val="24"/>
      <w:lang w:eastAsia="hr-HR"/>
    </w:rPr>
  </w:style>
  <w:style w:type="character" w:customStyle="1" w:styleId="Naslov7Char">
    <w:name w:val="Naslov 7 Char"/>
    <w:basedOn w:val="Zadanifontodlomka"/>
    <w:link w:val="Naslov7"/>
    <w:uiPriority w:val="9"/>
    <w:semiHidden/>
    <w:rsid w:val="003A0105"/>
    <w:rPr>
      <w:rFonts w:asciiTheme="majorHAnsi" w:eastAsiaTheme="majorEastAsia" w:hAnsiTheme="majorHAnsi" w:cstheme="majorBidi"/>
      <w:i/>
      <w:iCs/>
      <w:color w:val="404040" w:themeColor="text1" w:themeTint="BF"/>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7261">
      <w:bodyDiv w:val="1"/>
      <w:marLeft w:val="0"/>
      <w:marRight w:val="0"/>
      <w:marTop w:val="0"/>
      <w:marBottom w:val="0"/>
      <w:divBdr>
        <w:top w:val="none" w:sz="0" w:space="0" w:color="auto"/>
        <w:left w:val="none" w:sz="0" w:space="0" w:color="auto"/>
        <w:bottom w:val="none" w:sz="0" w:space="0" w:color="auto"/>
        <w:right w:val="none" w:sz="0" w:space="0" w:color="auto"/>
      </w:divBdr>
    </w:div>
    <w:div w:id="18866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TotalTime>
  <Pages>4</Pages>
  <Words>1504</Words>
  <Characters>8576</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38</cp:revision>
  <dcterms:created xsi:type="dcterms:W3CDTF">2023-01-24T13:35:00Z</dcterms:created>
  <dcterms:modified xsi:type="dcterms:W3CDTF">2024-01-29T06:52:00Z</dcterms:modified>
</cp:coreProperties>
</file>