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E2232" w14:paraId="2332629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1A2C35" w14:textId="77777777" w:rsidR="00FE223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31EE48B" w14:textId="77777777" w:rsidR="00FE2232" w:rsidRDefault="00000000">
            <w:pPr>
              <w:spacing w:after="0" w:line="240" w:lineRule="auto"/>
            </w:pPr>
            <w:r>
              <w:t>37496</w:t>
            </w:r>
          </w:p>
        </w:tc>
      </w:tr>
      <w:tr w:rsidR="00FE2232" w14:paraId="7A7A214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FC25BF" w14:textId="77777777" w:rsidR="00FE223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A40FEC2" w14:textId="77777777" w:rsidR="00FE2232" w:rsidRDefault="00000000">
            <w:pPr>
              <w:spacing w:after="0" w:line="240" w:lineRule="auto"/>
            </w:pPr>
            <w:r>
              <w:t>Gradski muzej Županja</w:t>
            </w:r>
          </w:p>
        </w:tc>
      </w:tr>
      <w:tr w:rsidR="00FE2232" w14:paraId="09FA410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5C9C75" w14:textId="77777777" w:rsidR="00FE223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DEAF65F" w14:textId="77777777" w:rsidR="00FE223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09D6AF4" w14:textId="77777777" w:rsidR="00FE2232" w:rsidRDefault="00000000">
      <w:r>
        <w:br/>
      </w:r>
    </w:p>
    <w:p w14:paraId="121D0270" w14:textId="77777777" w:rsidR="00FE223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DF33676" w14:textId="77777777" w:rsidR="00FE223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67D3A69" w14:textId="77777777" w:rsidR="00FE2232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D36BD90" w14:textId="77777777" w:rsidR="00FE2232" w:rsidRDefault="00FE2232"/>
    <w:p w14:paraId="78131B0B" w14:textId="77777777" w:rsidR="00FE223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0017E1E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3C2F4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007F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E31A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3798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93FA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BB1D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1C27F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183460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8172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DFEF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A95CE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1DE6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128.072,93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DAB60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188.985,26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43DD1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147,6</w:t>
            </w:r>
          </w:p>
        </w:tc>
      </w:tr>
      <w:tr w:rsidR="00FE2232" w14:paraId="2C3570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0A02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BDFD4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A23D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EF9C0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121.131,49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02F7D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134.622,48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AA840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  <w:tr w:rsidR="00FE2232" w14:paraId="1C1168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9E720" w14:textId="77777777" w:rsidR="00FE2232" w:rsidRDefault="00FE22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6484D9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96AF2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8B841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6.941,44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176A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54.362,78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17A66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783,2</w:t>
            </w:r>
          </w:p>
        </w:tc>
      </w:tr>
      <w:tr w:rsidR="00FE2232" w14:paraId="72A658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11C5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8BBD2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A6A69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1398D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9B65B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59C9F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2232" w14:paraId="4DC2BB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47CF1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A26C2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DA808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426A8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BB627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34.599,14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7B5B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1567,2</w:t>
            </w:r>
          </w:p>
        </w:tc>
      </w:tr>
      <w:tr w:rsidR="00FE2232" w14:paraId="415BA2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B3FD3" w14:textId="77777777" w:rsidR="00FE2232" w:rsidRDefault="00FE22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BC5CC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FA03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370F2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0C882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34.599,14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8FFD7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1567,2</w:t>
            </w:r>
          </w:p>
        </w:tc>
      </w:tr>
      <w:tr w:rsidR="00FE2232" w14:paraId="617F52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51A2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A0C70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BE14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F4527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CBE8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57D28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2232" w14:paraId="234887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9CE79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F2D732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6478B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38A0B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3AD1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38D18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2232" w14:paraId="2B1D7F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DFD17" w14:textId="77777777" w:rsidR="00FE2232" w:rsidRDefault="00FE22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6317C8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45399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7E11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2CDED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2DB2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E2232" w14:paraId="477395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5A931" w14:textId="77777777" w:rsidR="00FE2232" w:rsidRDefault="00FE22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879A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F754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3D3F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4.733,69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70E5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19.763,64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DB2DC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417,5</w:t>
            </w:r>
          </w:p>
        </w:tc>
      </w:tr>
    </w:tbl>
    <w:p w14:paraId="384AEC61" w14:textId="77777777" w:rsidR="00FE2232" w:rsidRDefault="00FE2232">
      <w:pPr>
        <w:spacing w:after="0"/>
      </w:pPr>
    </w:p>
    <w:p w14:paraId="2D5B0BD2" w14:textId="77777777" w:rsidR="00FE2232" w:rsidRDefault="00000000">
      <w:pPr>
        <w:spacing w:line="240" w:lineRule="auto"/>
        <w:jc w:val="both"/>
      </w:pPr>
      <w:r>
        <w:t>Višak prihoda u tekućem razdoblju je rezultat već uplaćenog dijela sredstava za prijavljene projekte ka Ministarstvu kulture i medija Republike Hrvatske i Vukovarsko-srijemske županije</w:t>
      </w:r>
    </w:p>
    <w:p w14:paraId="18E1552D" w14:textId="77777777" w:rsidR="00FE2232" w:rsidRDefault="00000000">
      <w:r>
        <w:br/>
      </w:r>
    </w:p>
    <w:p w14:paraId="178D69AE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0A906B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BF2E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1843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93F9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8699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72CAF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9E7D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5D1FF0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782D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2ED9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25768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0138A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128.072,93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A580B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188.985,26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07FB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147,6</w:t>
            </w:r>
          </w:p>
        </w:tc>
      </w:tr>
    </w:tbl>
    <w:p w14:paraId="2D67106B" w14:textId="77777777" w:rsidR="00FE2232" w:rsidRDefault="00FE2232">
      <w:pPr>
        <w:spacing w:after="0"/>
      </w:pPr>
    </w:p>
    <w:p w14:paraId="65EDA811" w14:textId="77777777" w:rsidR="00FE2232" w:rsidRDefault="00000000">
      <w:pPr>
        <w:spacing w:line="240" w:lineRule="auto"/>
        <w:jc w:val="both"/>
      </w:pPr>
      <w:r>
        <w:t>Nastavlja se kvalitetna suradnja Muzeja sa nadležnim proračunom i nadležnim Ministarstvom, a veći prihodi su i djelom od nadležnog proračuna veći zbog konačne otplate muzejskog eksponata prve nogometne lopte.</w:t>
      </w:r>
    </w:p>
    <w:p w14:paraId="69559427" w14:textId="77777777" w:rsidR="00FE2232" w:rsidRDefault="00FE2232"/>
    <w:p w14:paraId="13217F4D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6DB13C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D6C5E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2F8E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2F2C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8C61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4154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0419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48CFD6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BDA7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D9987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C049E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A225B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4A166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0A392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313,8</w:t>
            </w:r>
          </w:p>
        </w:tc>
      </w:tr>
    </w:tbl>
    <w:p w14:paraId="6865E59D" w14:textId="77777777" w:rsidR="00FE2232" w:rsidRDefault="00FE2232">
      <w:pPr>
        <w:spacing w:after="0"/>
      </w:pPr>
    </w:p>
    <w:p w14:paraId="28269972" w14:textId="77777777" w:rsidR="00FE2232" w:rsidRDefault="00000000">
      <w:pPr>
        <w:spacing w:line="240" w:lineRule="auto"/>
        <w:jc w:val="both"/>
      </w:pPr>
      <w:r>
        <w:t>Uz daljnu kvalitetnu suradnju Muzej nastavlja sa primanjem potpore za sufinanciranje prijavljenih projekata, prije svega sa Ministarstvom kulture i medija Republike Hrvatske od koga se većinom bilježe prihodi u izvještajnom razdoblju</w:t>
      </w:r>
    </w:p>
    <w:p w14:paraId="6BD962FC" w14:textId="77777777" w:rsidR="00FE2232" w:rsidRDefault="00FE2232"/>
    <w:p w14:paraId="0DB73CB6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5811BB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0B99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D3E95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6BAB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5B72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F2CC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4B1B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1373D4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E372E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A7A95E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943D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BFD3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D578E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4CE1C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DB87586" w14:textId="77777777" w:rsidR="00FE2232" w:rsidRDefault="00FE2232">
      <w:pPr>
        <w:spacing w:after="0"/>
      </w:pPr>
    </w:p>
    <w:p w14:paraId="08816B7A" w14:textId="77777777" w:rsidR="00FE2232" w:rsidRDefault="00000000">
      <w:pPr>
        <w:spacing w:line="240" w:lineRule="auto"/>
        <w:jc w:val="both"/>
      </w:pPr>
      <w:r>
        <w:t>Iako zasad nisu ostvarene uplate, ni ugovori temeljem kojih bi se obračunali, postoji naznaka da bi do idućeg izvještajnog razdoblja ipak ostvarile pomoći od Turističke zajednice Grada Županje u sklopu sudjelovanja u njihovom ljetnog programu za 2025.</w:t>
      </w:r>
    </w:p>
    <w:p w14:paraId="6804D9F8" w14:textId="77777777" w:rsidR="00FE2232" w:rsidRDefault="00FE2232"/>
    <w:p w14:paraId="1D2AF735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2AA29E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A664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16F5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9C23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B73E5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9E47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EA5FD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5FB128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8810E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BD971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19859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E4F12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C3CFC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C590E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14:paraId="2A783671" w14:textId="77777777" w:rsidR="00FE2232" w:rsidRDefault="00FE2232">
      <w:pPr>
        <w:spacing w:after="0"/>
      </w:pPr>
    </w:p>
    <w:p w14:paraId="60CD5654" w14:textId="77777777" w:rsidR="00FE2232" w:rsidRDefault="00000000">
      <w:pPr>
        <w:spacing w:line="240" w:lineRule="auto"/>
        <w:jc w:val="both"/>
      </w:pPr>
      <w:r>
        <w:t>Veći su zbog aktiviranje police osiguranja za oštećenu vitrinu, za koju se dobila naknada štete od 193,20 €, inače bi prihodi bili 165,00 €, čime bi bili manji spram izvještajnog razdoblja prethodne godine.</w:t>
      </w:r>
    </w:p>
    <w:p w14:paraId="4075C715" w14:textId="77777777" w:rsidR="00FE2232" w:rsidRDefault="00FE2232"/>
    <w:p w14:paraId="0163400F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43AE2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D213E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11E4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3EF3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D3E9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6FB6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6678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581D26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710D5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D8290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69738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40F12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2E33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34.599,14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32E8A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1567,2</w:t>
            </w:r>
          </w:p>
        </w:tc>
      </w:tr>
    </w:tbl>
    <w:p w14:paraId="714D3440" w14:textId="77777777" w:rsidR="00FE2232" w:rsidRDefault="00FE2232">
      <w:pPr>
        <w:spacing w:after="0"/>
      </w:pPr>
    </w:p>
    <w:p w14:paraId="39DA8126" w14:textId="77777777" w:rsidR="00FE2232" w:rsidRDefault="00000000">
      <w:pPr>
        <w:spacing w:line="240" w:lineRule="auto"/>
        <w:jc w:val="both"/>
      </w:pPr>
      <w:r>
        <w:t>Odnosi se na zadnje rate otplate eksponata Prve nogometne lopte u Hrvatskoj u iznosu od 30.000,00 €,. Time, osim ako u budućnosti se ne planira ići u druge značajne nabave ili investicije koje financira nadležni proračun, prihodi bi trebali biti puno manji. Primjerice kao razdoblje prethodne godine u većem ili manjem iznosu po planiranoj potrebi.</w:t>
      </w:r>
    </w:p>
    <w:p w14:paraId="0E995910" w14:textId="77777777" w:rsidR="00FE2232" w:rsidRDefault="00FE2232"/>
    <w:p w14:paraId="2BFA6E84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1DB31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E7E2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B04A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E23A7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AA53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1303C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42DF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54914C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9425B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23843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4D047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735DF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79.568,55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A6C14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95.263,37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0FA5B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6536631B" w14:textId="77777777" w:rsidR="00FE2232" w:rsidRDefault="00FE2232">
      <w:pPr>
        <w:spacing w:after="0"/>
      </w:pPr>
    </w:p>
    <w:p w14:paraId="7284E4BD" w14:textId="77777777" w:rsidR="00FE2232" w:rsidRDefault="00000000">
      <w:pPr>
        <w:spacing w:line="240" w:lineRule="auto"/>
        <w:jc w:val="both"/>
      </w:pPr>
      <w:r>
        <w:t>Bilježi uvećanje prije svega zbog uvođenja toplog obroka i neoporezivog dodatka, ali i u manjoj mjeri zbog veće osnovice za plaće odlukom u rujnu 2024. godine.</w:t>
      </w:r>
    </w:p>
    <w:p w14:paraId="6F481002" w14:textId="77777777" w:rsidR="00FE2232" w:rsidRDefault="00FE2232"/>
    <w:p w14:paraId="3A9B058D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1B90F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0D08E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DCBB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D66E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0841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7D1E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C4E3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2C41A1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6621B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3E765B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F6503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309C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A90B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DFD77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172,9</w:t>
            </w:r>
          </w:p>
        </w:tc>
      </w:tr>
    </w:tbl>
    <w:p w14:paraId="6CD54C4D" w14:textId="77777777" w:rsidR="00FE2232" w:rsidRDefault="00FE2232">
      <w:pPr>
        <w:spacing w:after="0"/>
      </w:pPr>
    </w:p>
    <w:p w14:paraId="4DDD1D8F" w14:textId="77777777" w:rsidR="00FE2232" w:rsidRDefault="00000000">
      <w:pPr>
        <w:spacing w:line="240" w:lineRule="auto"/>
        <w:jc w:val="both"/>
      </w:pPr>
      <w:r>
        <w:t>Rashodi su veći zbog isplate veće naknade za prijevoz, ali i blago većih naknada za službeno putovanja i osposobljavanja voditelja evakuacije (šifra/konto 3213)</w:t>
      </w:r>
    </w:p>
    <w:p w14:paraId="36C3CCE5" w14:textId="77777777" w:rsidR="00FE2232" w:rsidRDefault="00FE2232"/>
    <w:p w14:paraId="10982DC8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30B6D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11B29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BD50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74A6D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F00E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183F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F83F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05D4E7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BAE96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A5975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CDA21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38C376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F446F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12F01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14:paraId="53D3EE2F" w14:textId="77777777" w:rsidR="00FE2232" w:rsidRDefault="00FE2232">
      <w:pPr>
        <w:spacing w:after="0"/>
      </w:pPr>
    </w:p>
    <w:p w14:paraId="046559CB" w14:textId="77777777" w:rsidR="00FE2232" w:rsidRDefault="00000000">
      <w:pPr>
        <w:spacing w:line="240" w:lineRule="auto"/>
        <w:jc w:val="both"/>
      </w:pPr>
      <w:r>
        <w:t xml:space="preserve">Kao što je navedeno u razdoblju za 2025-03, dobar dio uvećanja se odnosi na uredski materijal, točnije nabave kutija za spremanje i arhiviranje postava u posjedu muzeja kako bi sigurno bili zbrinuti i skladišteni, ali i troškovi energenata su blago veći u usporedbi sa </w:t>
      </w:r>
      <w:r>
        <w:lastRenderedPageBreak/>
        <w:t>izvještajnim razdobljem prethodne godine.  Sa suprotne strane manje se utrošilo na sitni inventar i materijal i dijelove za održavanje, ali se radi o iznosima od 230,00+ u prethodnoj godini, na 70,00 i 166,44 u tekućoj godini, zbog čega iznosi nisu veliki.</w:t>
      </w:r>
    </w:p>
    <w:p w14:paraId="3F32769F" w14:textId="77777777" w:rsidR="00FE2232" w:rsidRDefault="00FE2232"/>
    <w:p w14:paraId="0DFD7C3E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19468D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41F2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B0F33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30C0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1C6C7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3B6C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6EAB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5592CA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5E59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36819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74C1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FB379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31.668,78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518FA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23.847,35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BF780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75,3</w:t>
            </w:r>
          </w:p>
        </w:tc>
      </w:tr>
    </w:tbl>
    <w:p w14:paraId="7B76659A" w14:textId="77777777" w:rsidR="00FE2232" w:rsidRDefault="00FE2232">
      <w:pPr>
        <w:spacing w:after="0"/>
      </w:pPr>
    </w:p>
    <w:p w14:paraId="0824B079" w14:textId="77777777" w:rsidR="00FE2232" w:rsidRDefault="00000000">
      <w:pPr>
        <w:spacing w:line="240" w:lineRule="auto"/>
        <w:jc w:val="both"/>
      </w:pPr>
      <w:r>
        <w:t>Rashodi za usluge u izvještajnom razdoblju dalje prate trend da su manji naspram prethodne godine, slično kao i u razdoblju 2025-03, ali gdje su uz rashode promidžbe i računalne usluge veće zbog prebacivanja podataka sa starog na novo računalo i implementacije novog modula u ERP rješenju za računovodstvo.  Tu je i novi trošak  za 3235 – zakupnine i najamnine koji osim redovne obveze plaćanja najma zida zbog oslikanog murala, bilježi i trošak najma glazbene opreme za noć muzeja 2025, kao navedeno u bilješkama za 2025-03</w:t>
      </w:r>
    </w:p>
    <w:p w14:paraId="0292B840" w14:textId="77777777" w:rsidR="00FE2232" w:rsidRDefault="00FE2232"/>
    <w:p w14:paraId="51B31BC2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0A49D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CB745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FC21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58EAD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F3DA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D9327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3045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36B122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D7F9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5D0A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3557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371AD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8.025,41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CEEF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8299C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</w:tbl>
    <w:p w14:paraId="447751BC" w14:textId="77777777" w:rsidR="00FE2232" w:rsidRDefault="00FE2232">
      <w:pPr>
        <w:spacing w:after="0"/>
      </w:pPr>
    </w:p>
    <w:p w14:paraId="30877BE7" w14:textId="77777777" w:rsidR="00FE2232" w:rsidRDefault="00000000">
      <w:pPr>
        <w:spacing w:line="240" w:lineRule="auto"/>
        <w:jc w:val="both"/>
      </w:pPr>
      <w:r>
        <w:t>Razlika je velika zbog neočekivanog rashoda u prethodnoj godini. Radilo se o čuvanju mrtvačkih kola koje je bilo povjereno u tvrtki blizu Muzeja na dobrovoljnoj bazi. Promjenom vlasnika, novi vlasnik je tražio kompenzaciju koja je dogovorena u iznosu od 4.500,00 €</w:t>
      </w:r>
    </w:p>
    <w:p w14:paraId="58A92841" w14:textId="77777777" w:rsidR="00FE2232" w:rsidRDefault="00FE2232"/>
    <w:p w14:paraId="6C7A2F8F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7E8075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F7B0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ED18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8B45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AF2A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AC48F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3730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6B1308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C7B45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1CED2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83671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D52F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46CE7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2A2FA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190,7</w:t>
            </w:r>
          </w:p>
        </w:tc>
      </w:tr>
    </w:tbl>
    <w:p w14:paraId="542B42AF" w14:textId="77777777" w:rsidR="00FE2232" w:rsidRDefault="00FE2232">
      <w:pPr>
        <w:spacing w:after="0"/>
      </w:pPr>
    </w:p>
    <w:p w14:paraId="1AAA210C" w14:textId="77777777" w:rsidR="00FE2232" w:rsidRDefault="00000000">
      <w:pPr>
        <w:spacing w:line="240" w:lineRule="auto"/>
        <w:jc w:val="both"/>
      </w:pPr>
      <w:r>
        <w:t>Razlog više ostvarenih rashoda je ugovorena zasebna polica osiguranja eksponata prve nogometne lopte u Hrvatskoj, zbog njezine visoke vrijednosti. Ostatak se odnosi na reprezentaciju, zbog više organiziranih događanja i uključenja u manifestacije šokačkog sijela, kojim se sve više posjetitelja ugošćuje.</w:t>
      </w:r>
    </w:p>
    <w:p w14:paraId="0BC28B4D" w14:textId="77777777" w:rsidR="00FE2232" w:rsidRDefault="00FE2232"/>
    <w:p w14:paraId="4166B674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1B1F1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263CC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B52E9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8B1A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3201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1F6F5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BD31F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606269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B80E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ADBACB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3EE8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1FFA9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A0210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DE978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6D839D" w14:textId="77777777" w:rsidR="00FE2232" w:rsidRDefault="00FE2232">
      <w:pPr>
        <w:spacing w:after="0"/>
      </w:pPr>
    </w:p>
    <w:p w14:paraId="165EE811" w14:textId="77777777" w:rsidR="00FE2232" w:rsidRDefault="00000000">
      <w:pPr>
        <w:spacing w:line="240" w:lineRule="auto"/>
        <w:jc w:val="both"/>
      </w:pPr>
      <w:r>
        <w:t>Pristojbe i naknade se knjiže tek poslije uputa po okružnici Ministarstva financija za izvještajno razdoblje 2024-06 i provedenih 2.izmjena i dopuna plana za 2024. godine krajem dotične godine.</w:t>
      </w:r>
    </w:p>
    <w:p w14:paraId="51F99955" w14:textId="77777777" w:rsidR="00FE2232" w:rsidRDefault="00FE2232"/>
    <w:p w14:paraId="6F7C44D1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14CD81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8F83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649C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9A9FD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B466C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96C4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BF83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5053D6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5098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7AD8D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E2379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3B198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10FDA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9ECF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1957,9</w:t>
            </w:r>
          </w:p>
        </w:tc>
      </w:tr>
    </w:tbl>
    <w:p w14:paraId="3B48B91F" w14:textId="77777777" w:rsidR="00FE2232" w:rsidRDefault="00FE2232">
      <w:pPr>
        <w:spacing w:after="0"/>
      </w:pPr>
    </w:p>
    <w:p w14:paraId="6FF2BDC4" w14:textId="77777777" w:rsidR="00FE2232" w:rsidRDefault="00000000">
      <w:pPr>
        <w:spacing w:line="240" w:lineRule="auto"/>
        <w:jc w:val="both"/>
      </w:pPr>
      <w:r>
        <w:t>Odnosi se na ostatak sredstava po ugovorima za prijavljene projekte koji će biti uplaćeni po predaji izvještaja o realizaciji</w:t>
      </w:r>
    </w:p>
    <w:p w14:paraId="4E66EA6F" w14:textId="77777777" w:rsidR="00FE2232" w:rsidRDefault="00FE2232"/>
    <w:p w14:paraId="5D3C8342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73EC93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45A2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2BE6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FD049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64A07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2A94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53EF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284026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7B15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BC32A6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FD96E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5239C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3D88F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7CB5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202,1</w:t>
            </w:r>
          </w:p>
        </w:tc>
      </w:tr>
    </w:tbl>
    <w:p w14:paraId="4003F7A3" w14:textId="77777777" w:rsidR="00FE2232" w:rsidRDefault="00FE2232">
      <w:pPr>
        <w:spacing w:after="0"/>
      </w:pPr>
    </w:p>
    <w:p w14:paraId="734009C5" w14:textId="77777777" w:rsidR="00FE2232" w:rsidRDefault="00000000">
      <w:pPr>
        <w:spacing w:line="240" w:lineRule="auto"/>
        <w:jc w:val="both"/>
      </w:pPr>
      <w:r>
        <w:t>Za potrebe kustosa, točnije pohrane njihovih stručnih materijala, nabavljeni su ormari prema nacrtu koji bi stali u njihovim prostorijama rada</w:t>
      </w:r>
    </w:p>
    <w:p w14:paraId="7AC3B76F" w14:textId="77777777" w:rsidR="00FE2232" w:rsidRDefault="00FE2232"/>
    <w:p w14:paraId="41611AAE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684557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95AB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98EE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BC96D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B131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857E9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15777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39F161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CCEE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B735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42273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A73D1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9E1D5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9781B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354B9A" w14:textId="77777777" w:rsidR="00FE2232" w:rsidRDefault="00FE2232">
      <w:pPr>
        <w:spacing w:after="0"/>
      </w:pPr>
    </w:p>
    <w:p w14:paraId="23A23B53" w14:textId="77777777" w:rsidR="00FE2232" w:rsidRDefault="00000000">
      <w:pPr>
        <w:spacing w:line="240" w:lineRule="auto"/>
        <w:jc w:val="both"/>
      </w:pPr>
      <w:r>
        <w:t>Nabavljena je klima, parni čistač i novi usisivač za potrebe održavanja prostorija</w:t>
      </w:r>
    </w:p>
    <w:p w14:paraId="21CA93AE" w14:textId="77777777" w:rsidR="00FE2232" w:rsidRDefault="00FE2232"/>
    <w:p w14:paraId="73903A59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373D7F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B54C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F43A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3724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2E28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8663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6801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6E2967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2B701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738D0A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66CC8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81EAE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DD3DF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609FA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85D4F5" w14:textId="77777777" w:rsidR="00FE2232" w:rsidRDefault="00FE2232">
      <w:pPr>
        <w:spacing w:after="0"/>
      </w:pPr>
    </w:p>
    <w:p w14:paraId="3A479957" w14:textId="77777777" w:rsidR="00FE2232" w:rsidRDefault="00000000">
      <w:pPr>
        <w:spacing w:line="240" w:lineRule="auto"/>
        <w:jc w:val="both"/>
      </w:pPr>
      <w:r>
        <w:t>Isplaćene su zadnje rate za nabavu eksponata prve nogometne lopte u Hrvatskoj, čija otplata je krenula u kolovozu 2024., zbog čega ne postoji iznos u prethodnoj godini. Nabavljeno je i građe za kulturno-povijesnu zbirku muzeja.  (Vuneni prekrivači za zid i 2 dirigentska štapića Mladena Pozajića</w:t>
      </w:r>
    </w:p>
    <w:p w14:paraId="67D26C61" w14:textId="77777777" w:rsidR="00FE2232" w:rsidRDefault="00FE2232"/>
    <w:p w14:paraId="0E94B3E9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30DF06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6AFF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A352E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70F6F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7FA7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0FC67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FCC5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7C1398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77EB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C4ADC3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ADAC0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6A11C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F9334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EF82D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C8DC3D" w14:textId="77777777" w:rsidR="00FE2232" w:rsidRDefault="00FE2232">
      <w:pPr>
        <w:spacing w:after="0"/>
      </w:pPr>
    </w:p>
    <w:p w14:paraId="32B5E069" w14:textId="77777777" w:rsidR="00FE2232" w:rsidRDefault="00000000">
      <w:pPr>
        <w:spacing w:line="240" w:lineRule="auto"/>
        <w:jc w:val="both"/>
      </w:pPr>
      <w:r>
        <w:t>Ugrađeni su komarnici na prozorima, kao zaštita od nametnika tokom toplijih dana.</w:t>
      </w:r>
    </w:p>
    <w:p w14:paraId="066EE43B" w14:textId="77777777" w:rsidR="00FE2232" w:rsidRDefault="00FE2232"/>
    <w:p w14:paraId="673654DE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13FB5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2B3A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2A978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C22F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6CE79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BE94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0084D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0C8F66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1C43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0BC7B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BA05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3D5EB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272D0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B5241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582846" w14:textId="77777777" w:rsidR="00FE2232" w:rsidRDefault="00FE2232">
      <w:pPr>
        <w:spacing w:after="0"/>
      </w:pPr>
    </w:p>
    <w:p w14:paraId="750E01BC" w14:textId="5053FC6A" w:rsidR="00FE2232" w:rsidRDefault="00000000">
      <w:pPr>
        <w:spacing w:line="240" w:lineRule="auto"/>
        <w:jc w:val="both"/>
      </w:pPr>
      <w:r>
        <w:t>Tokom analize dugovne strane (Razred 0 i 1) sa potražnom (Razred 2 i 9),  utvrđeno je kako Muzej na osnovnom računu, 91112 – Izvori vlasništva iz proračuna za financijsku imovinu, bilježi iznos od 23.386,22 €, ali ne posjeduje protustavke na odgovarajućim skupinama u razredu 1 (točnije Skupina 13,14 i 15 koji se odnose na potraživanja za dane zajmove, vrijednosne papire i dionice i udjele u glavnici).  Daljnom usporedbom razreda 0 i 1 sa 2 i 9 uočeno je da se dotični iznos odnosi na Skupinu 11 – Novac u banci i blagajni, čime se dolazi do zaključka da se u prethodnim razdobljima dogodili krivo knjiženje. Prolaskom kroz arhivu financijskih izvještaja i bruto bilanci kao prilog uočeno je da je krivo knjiženje nastalo cca. 2002. I 2003. jer po dostupnim papirima je tada uočeno krivo knjiženje.   Iako nedostaju papiri za prethodne godine i određeni papiri za 2002. I 2003. , promjene iznosa su uočljive tada, uz pretpostavku da su se knjižile i ranijih godina s obzirom da je iznos rastao postepeno, na osnovnom računu 91112 kod tadašnjeg voditelja financija koji je obnašao dužnost do 2004.godine. Shodno tome to je iznos koji, ako se uzme u obzir poslovanje Gradskog muzeja Županja, višak prihoda poslovanja koji se mora preknjižiti na njegov predviđeni osnovni račun 92211. Po nalogu zakonskog zastupnika, ravnatelja muzeja, iznos je preknjižen na nj</w:t>
      </w:r>
      <w:r w:rsidR="00EC6E8A">
        <w:t>e</w:t>
      </w:r>
      <w:r>
        <w:t>g</w:t>
      </w:r>
      <w:r w:rsidR="00EC6E8A">
        <w:t>ov</w:t>
      </w:r>
      <w:r>
        <w:t xml:space="preserve"> osnovni račun 92211 -  Višak prihoda poslovanja Po nalogu zakonskog zastupnika, ravnatelja muzeja, pokriven je 92222 - Manjak prihoda od nefinancijske imovine - preneseni sa 92211 Višak prihoda poslovanja - preneseni</w:t>
      </w:r>
    </w:p>
    <w:p w14:paraId="35657053" w14:textId="77777777" w:rsidR="00FE2232" w:rsidRDefault="00FE2232"/>
    <w:p w14:paraId="0F92F0B4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4D8C4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8E6FC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210DD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DB46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F474F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F84C2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4BEE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302D25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6FE3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42AB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8D141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08BCD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7.616,97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FDB24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6B93D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F0D8F90" w14:textId="77777777" w:rsidR="00FE2232" w:rsidRDefault="00FE2232">
      <w:pPr>
        <w:spacing w:after="0"/>
      </w:pPr>
    </w:p>
    <w:p w14:paraId="5649613A" w14:textId="77777777" w:rsidR="00FE2232" w:rsidRDefault="00000000">
      <w:pPr>
        <w:spacing w:line="240" w:lineRule="auto"/>
        <w:jc w:val="both"/>
      </w:pPr>
      <w:r>
        <w:t>Prema opisanom u bilješci prije, Muzej ne posluje sa manjkom koji prenosi, nego sa viškom. Dotično je riješeno u razdoblju 2025-06 tekućeg godine zbog čega ne bilježi više preneseni manjak. Time više ne bilježi ni manjak za sljedeće razdoblje, nego višak.</w:t>
      </w:r>
    </w:p>
    <w:p w14:paraId="5823C6B6" w14:textId="77777777" w:rsidR="00FE2232" w:rsidRDefault="00FE2232"/>
    <w:p w14:paraId="6F8B0962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E2232" w14:paraId="06D0FC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3E991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427F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EACE3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B5F1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C2BB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6831E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67A99F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441F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4913B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443BF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7E2E3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7D28A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4DB31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14E1EED" w14:textId="77777777" w:rsidR="00FE2232" w:rsidRDefault="00FE2232">
      <w:pPr>
        <w:spacing w:after="0"/>
      </w:pPr>
    </w:p>
    <w:p w14:paraId="5D056667" w14:textId="77777777" w:rsidR="00FE2232" w:rsidRDefault="00000000">
      <w:pPr>
        <w:spacing w:line="240" w:lineRule="auto"/>
        <w:jc w:val="both"/>
      </w:pPr>
      <w:r>
        <w:t>Prošle godine je djelatnici umro roditelj, kojoj je, temeljem odluke zakonskog zastupnika, isplaćena potpora za smrtni slučaj u obitelji.</w:t>
      </w:r>
    </w:p>
    <w:p w14:paraId="33366472" w14:textId="77777777" w:rsidR="00FE2232" w:rsidRDefault="00FE2232"/>
    <w:p w14:paraId="48B839E3" w14:textId="77777777" w:rsidR="00FE223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E919673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E2232" w14:paraId="10A751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5A394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12A87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934A5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548E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9964A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53C63C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8B392" w14:textId="77777777" w:rsidR="00FE2232" w:rsidRDefault="00FE22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3DEBFC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31DCD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B39F4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47.121,79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B48D8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FA46F6" w14:textId="77777777" w:rsidR="00FE2232" w:rsidRDefault="00FE2232">
      <w:pPr>
        <w:spacing w:after="0"/>
      </w:pPr>
    </w:p>
    <w:p w14:paraId="7A814AD1" w14:textId="77777777" w:rsidR="00FE2232" w:rsidRDefault="00000000">
      <w:pPr>
        <w:spacing w:line="240" w:lineRule="auto"/>
        <w:jc w:val="both"/>
      </w:pPr>
      <w:r>
        <w:t>Početno stanje obveza odnosi se na iskazane obveze za  neisplaćenu plaću za prosinac 2024. godine u iznosu od 15.375,69 € i 30.000,00 € za preostale rate otplate za nabavu prve nogometne lopte u Hrvatskoj, dok se ostatak odnosi na račune koji su stigli tokom završnog knjiženja 2024. godine.</w:t>
      </w:r>
    </w:p>
    <w:p w14:paraId="4D203314" w14:textId="77777777" w:rsidR="00FE2232" w:rsidRDefault="00FE2232"/>
    <w:p w14:paraId="6754698B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E2232" w14:paraId="5763EE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1ED30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50F4C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8ADAD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BA23C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BB036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6B7D37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B80EF" w14:textId="77777777" w:rsidR="00FE2232" w:rsidRDefault="00FE22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4E17EE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8EDC4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625AE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08E3B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C2B585" w14:textId="77777777" w:rsidR="00FE2232" w:rsidRDefault="00FE2232">
      <w:pPr>
        <w:spacing w:after="0"/>
      </w:pPr>
    </w:p>
    <w:p w14:paraId="71BA8029" w14:textId="77777777" w:rsidR="00FE2232" w:rsidRDefault="00000000">
      <w:pPr>
        <w:spacing w:line="240" w:lineRule="auto"/>
        <w:jc w:val="both"/>
      </w:pPr>
      <w:r>
        <w:t>Gradski muzej Županja održava disciplinu u ispunjavanju svojih obveza do dospijeća i na datum 30.06.2025. nema dospjelih obveza</w:t>
      </w:r>
    </w:p>
    <w:p w14:paraId="1AD3A4BA" w14:textId="77777777" w:rsidR="00FE2232" w:rsidRDefault="00FE2232"/>
    <w:p w14:paraId="4463228D" w14:textId="77777777" w:rsidR="00FE2232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E2232" w14:paraId="699A8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150C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53FD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F92AC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A895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43CBB" w14:textId="77777777" w:rsidR="00FE22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232" w14:paraId="0465F3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28E00" w14:textId="77777777" w:rsidR="00FE2232" w:rsidRDefault="00FE22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BE9719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79903" w14:textId="77777777" w:rsidR="00FE22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5D664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16.384,91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E8D0D" w14:textId="77777777" w:rsidR="00FE22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3E5606" w14:textId="77777777" w:rsidR="00FE2232" w:rsidRDefault="00FE2232">
      <w:pPr>
        <w:spacing w:after="0"/>
      </w:pPr>
    </w:p>
    <w:p w14:paraId="3076F52E" w14:textId="77777777" w:rsidR="00FE2232" w:rsidRDefault="00000000">
      <w:pPr>
        <w:spacing w:line="240" w:lineRule="auto"/>
        <w:jc w:val="both"/>
      </w:pPr>
      <w:r>
        <w:t>Odnosi se na iskazane obveze za  neisplaćenu  bruto plaću za lipanj 2024. Godine, koja se isplaćuje u srpnju,  u iznosu od 15.804,44 €, a ostatak na račune koji su izdani do 30.06.2025. i račun Hrvatskog telekom iz 2024. godine koji se podmiruje na rate.  Sve navedene obveze dospijevaju u srpnju.</w:t>
      </w:r>
    </w:p>
    <w:p w14:paraId="5EA8A6BF" w14:textId="77777777" w:rsidR="00FE2232" w:rsidRDefault="00FE2232"/>
    <w:sectPr w:rsidR="00FE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232"/>
    <w:rsid w:val="000C02BF"/>
    <w:rsid w:val="00EC6E8A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F4AD"/>
  <w15:docId w15:val="{0FE35430-4C60-42EA-AD77-343292B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2053</Words>
  <Characters>11707</Characters>
  <Application>Microsoft Office Word</Application>
  <DocSecurity>0</DocSecurity>
  <Lines>97</Lines>
  <Paragraphs>27</Paragraphs>
  <ScaleCrop>false</ScaleCrop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Knjižnica Županja</cp:lastModifiedBy>
  <cp:revision>2</cp:revision>
  <cp:lastPrinted>2025-07-09T11:56:00Z</cp:lastPrinted>
  <dcterms:created xsi:type="dcterms:W3CDTF">2025-07-09T11:55:00Z</dcterms:created>
  <dcterms:modified xsi:type="dcterms:W3CDTF">2025-07-09T12:11:00Z</dcterms:modified>
</cp:coreProperties>
</file>